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tabs>
          <w:tab w:val="left" w:leader="none" w:pos="5812"/>
        </w:tabs>
        <w:spacing w:after="0"/>
        <w:ind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Důvodová zpráva k</w:t>
      </w:r>
      <w:r>
        <w:rPr>
          <w:rFonts w:ascii="Arial" w:hAnsi="Arial" w:cs="Arial"/>
          <w:b/>
          <w:sz w:val="24"/>
          <w:szCs w:val="24"/>
        </w:rPr>
        <w:t xml:space="preserve"> návrhu rozpo</w:t>
      </w:r>
      <w:r>
        <w:rPr>
          <w:rFonts w:ascii="Arial" w:hAnsi="Arial" w:cs="Arial"/>
          <w:b/>
          <w:sz w:val="24"/>
          <w:szCs w:val="24"/>
        </w:rPr>
        <w:t xml:space="preserve">čtu města Nový Jičín na rok 2026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Bdr/>
        <w:tabs>
          <w:tab w:val="left" w:leader="none" w:pos="5812"/>
        </w:tabs>
        <w:spacing w:after="0"/>
        <w: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903"/>
          <w:rFonts w:ascii="Arial" w:hAnsi="Arial" w:cs="Arial"/>
          <w:color w:val="000000"/>
          <w:sz w:val="22"/>
          <w:szCs w:val="22"/>
          <w:u w:val="single"/>
        </w:rPr>
        <w:t xml:space="preserve">K bodu 1.:</w:t>
      </w:r>
      <w:r>
        <w:rPr>
          <w:rStyle w:val="903"/>
          <w:rFonts w:ascii="Arial" w:hAnsi="Arial" w:cs="Arial"/>
          <w:color w:val="000000"/>
          <w:sz w:val="22"/>
          <w:szCs w:val="22"/>
        </w:rPr>
        <w:t xml:space="preserve">  </w:t>
      </w:r>
      <w:r>
        <w:rPr>
          <w:rFonts w:ascii="Arial" w:hAnsi="Arial" w:cs="Arial"/>
          <w:color w:val="000000"/>
          <w:sz w:val="22"/>
          <w:szCs w:val="22"/>
        </w:rPr>
        <w:t xml:space="preserve">Struktura návrhu je připravena ve standardní podobě. Návrh rozpočtu na rok 2026 je porovnáván ke schválenému rozpočtu města na rok 2025. V souladu s právní úpravou je bilance doplněna o očekávané skutečné plnění k 31. 12. 2025. 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Struktura je stejná jako v minulých letech. Z hlediska příjmů je návrh tříděn na daňové příjmy, nedaňové příjmy, kapitálové příjmy a přijaté transfery (třída 1 – 4). Z hlediska vý</w:t>
      </w:r>
      <w:r>
        <w:rPr>
          <w:rFonts w:ascii="Arial" w:hAnsi="Arial" w:cs="Arial"/>
          <w:color w:val="000000"/>
          <w:sz w:val="22"/>
          <w:szCs w:val="22"/>
        </w:rPr>
        <w:t xml:space="preserve">dajů jsou zařazeny třída 5 (běžné výdaje) a třída 6 (kapitálové výdaje). Z hlediska organizační je výdajová část rozpočtu členěna na jednotlivé ORJ (správce rozpočtu – odbory, organizační složky a orgán města). Třída 8 pak představuje financování rozpočtu.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Rozpočet je navržen jako schodkový (výdaje převyšují příjmy), přičemž schodek je v plné výši krytý zapojením zůstatků finančních prostředků (vlastních zdrojů) na </w:t>
      </w:r>
      <w:r>
        <w:rPr>
          <w:rFonts w:ascii="Arial" w:hAnsi="Arial" w:cs="Arial"/>
          <w:color w:val="000000"/>
          <w:sz w:val="22"/>
          <w:szCs w:val="22"/>
        </w:rPr>
        <w:t xml:space="preserve">bankovních </w:t>
      </w:r>
      <w:r>
        <w:rPr>
          <w:rFonts w:ascii="Arial" w:hAnsi="Arial" w:cs="Arial"/>
          <w:color w:val="000000"/>
          <w:sz w:val="22"/>
          <w:szCs w:val="22"/>
        </w:rPr>
        <w:t xml:space="preserve">účtech města k 31. 12. 2025.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 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 xml:space="preserve">Příjmy: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Příjmy ze sdílených daní (RUD) vycházejí z výpočtu dle příslušné prováděcí vyhlášky minist</w:t>
      </w:r>
      <w:r>
        <w:rPr>
          <w:rFonts w:ascii="Arial" w:hAnsi="Arial" w:cs="Arial"/>
          <w:color w:val="000000"/>
          <w:sz w:val="22"/>
          <w:szCs w:val="22"/>
        </w:rPr>
        <w:t xml:space="preserve">erstva financí a kalkulačky RUD, které promítají novelu zákona o RUD z roku 2025 navyšující podíl na výnosech ze sdílených daní jako částečnou kompenzaci nákladů spojených s financováním platů nepedagogických pracovníků škol a školských zařízení. 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V daňových příjmech je zahrnut zvýšený výnos z daně z nemovitých věcí na základě úpravy obecně závazné vyhlášky a zakotvení místních koeficientů od zdaňovacího období roku 2025 a dle očekávaného inkasa této daně v roce 2025 (predikce finančního úřadu</w:t>
      </w:r>
      <w:r>
        <w:rPr>
          <w:rFonts w:ascii="Arial" w:hAnsi="Arial" w:cs="Arial"/>
          <w:color w:val="000000"/>
          <w:sz w:val="22"/>
          <w:szCs w:val="22"/>
        </w:rPr>
        <w:t xml:space="preserve"> pro rok 2026</w:t>
      </w:r>
      <w:r>
        <w:rPr>
          <w:rFonts w:ascii="Arial" w:hAnsi="Arial" w:cs="Arial"/>
          <w:color w:val="000000"/>
          <w:sz w:val="22"/>
          <w:szCs w:val="22"/>
        </w:rPr>
        <w:t xml:space="preserve">).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Nedaňové příjmy vycházejí z dosavadního vývoje s promítnutím valorizace u některých služeb a plnění poskytovaný</w:t>
      </w:r>
      <w:r>
        <w:rPr>
          <w:rFonts w:ascii="Arial" w:hAnsi="Arial" w:cs="Arial"/>
          <w:color w:val="000000"/>
          <w:sz w:val="22"/>
          <w:szCs w:val="22"/>
        </w:rPr>
        <w:t xml:space="preserve">ch městem (zejména nájemné, pachtovné, vstupné do sportovních zařízení, platby klientů za úkony poskytované v rámci služby ProSenior). S ohledem na diverzifikaci finančních prostředků města předpokládáme vyšší částku z úroků za deponování finančních prostř</w:t>
      </w:r>
      <w:r>
        <w:rPr>
          <w:rFonts w:ascii="Arial" w:hAnsi="Arial" w:cs="Arial"/>
          <w:color w:val="000000"/>
          <w:sz w:val="22"/>
          <w:szCs w:val="22"/>
        </w:rPr>
        <w:t xml:space="preserve">edků města na bankovních účtech se zvýhodněnou úrokovou sazbou (zvýhodněné běžné účty, spořicí účty, termínované vklady). V roce 2026 předpokládáme inkaso zbývající částky pohledávky (1 %) z titulu zablokovaných prostředků ve Sberbank CZ, a.s. v likvidaci.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V rámci kapitálových příjmů předpokládáme prodeje </w:t>
      </w:r>
      <w:r>
        <w:rPr>
          <w:rFonts w:ascii="Arial" w:hAnsi="Arial" w:cs="Arial"/>
          <w:color w:val="000000"/>
          <w:sz w:val="22"/>
          <w:szCs w:val="22"/>
        </w:rPr>
        <w:t xml:space="preserve">spíše menších pozemků, za zásadní kapitálový příjem lze považovat úhradu 20 % kupní ceny za prodej pozemků pro výstavbu bytových domu v lokalitě B. Martinů, bude-li zastupitelstvem města v prosinci 2025 schválena smlouva o smlouvě budoucí kupní s vítězným </w:t>
      </w:r>
      <w:r>
        <w:rPr>
          <w:rFonts w:ascii="Arial" w:hAnsi="Arial" w:cs="Arial"/>
          <w:color w:val="000000"/>
          <w:sz w:val="22"/>
          <w:szCs w:val="22"/>
        </w:rPr>
        <w:t xml:space="preserve">uchazečem.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 v roce 2026 bude pokračovat optimalizace</w:t>
      </w:r>
      <w:r>
        <w:rPr>
          <w:rFonts w:ascii="Arial" w:hAnsi="Arial" w:cs="Arial"/>
          <w:color w:val="000000"/>
          <w:sz w:val="22"/>
          <w:szCs w:val="22"/>
        </w:rPr>
        <w:t xml:space="preserve"> rozsahu městského majetku. Předpokládáme prodej budov, pro něž město nemá využití, přičemž některé byly jako zbytné identifikovány auditem ekonomické využitelnosti vybraných ne</w:t>
      </w:r>
      <w:r>
        <w:rPr>
          <w:rFonts w:ascii="Arial" w:hAnsi="Arial" w:cs="Arial"/>
          <w:color w:val="000000"/>
          <w:sz w:val="22"/>
          <w:szCs w:val="22"/>
        </w:rPr>
        <w:t xml:space="preserve">movitostí ve vlastnictví města Nový Jičín, a zařazeny do kategorie prodej (zejména neúspěšné prodeje z roku 2025). Do třídy 3 jsou zařazeny i předpokládané příjmy z dotací, kde bylo město úspěšným žadatelem, a kde se jejich inkaso předpokládá v roce 2026. 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V třídě 4-Přijaté transfery jsou zařazeny obvyklé příjmy (příspěvek státu na výkon státní správy, dotace na zajištění výkonu OSPOD, na poskytování sociálních služeb) a další účelově určené dotace ze státního rozpočtu a rozpočtu kraje.</w:t>
      </w:r>
      <w:r>
        <w:rPr>
          <w:rFonts w:ascii="Arial" w:hAnsi="Arial" w:cs="Arial"/>
          <w:color w:val="000000"/>
          <w:sz w:val="22"/>
          <w:szCs w:val="22"/>
        </w:rPr>
        <w:t xml:space="preserve"> Přestože se rozsah přenesené působnosti vykonávaný městským úřadem zvyšuje (např. nově agenda spojená s problematikou dostupného bydlení), příspěvek na výkon státní správy se nenavyšuje. 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  <w:highlight w:val="none"/>
        </w:rPr>
      </w:pPr>
      <w:r>
        <w:rPr>
          <w:rFonts w:ascii="Arial" w:hAnsi="Arial" w:cs="Arial"/>
          <w:color w:val="000000"/>
          <w:sz w:val="22"/>
          <w:szCs w:val="22"/>
        </w:rPr>
        <w:t xml:space="preserve"> 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none"/>
        </w:rPr>
      </w:r>
      <w:r>
        <w:rPr>
          <w:rFonts w:ascii="Arial" w:hAnsi="Arial" w:cs="Arial"/>
          <w:color w:val="000000"/>
          <w:sz w:val="22"/>
          <w:szCs w:val="22"/>
          <w:highlight w:val="none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 xml:space="preserve">Výdaje: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Návrh rozpočtu obsahuje běžné výdaje v souhrnné částce </w:t>
      </w:r>
      <w:r>
        <w:rPr>
          <w:rFonts w:ascii="Arial" w:hAnsi="Arial" w:cs="Arial"/>
          <w:color w:val="000000"/>
          <w:sz w:val="22"/>
          <w:szCs w:val="22"/>
          <w:highlight w:val="none"/>
        </w:rPr>
        <w:t xml:space="preserve">926.337.085 </w:t>
      </w:r>
      <w:r>
        <w:rPr>
          <w:rFonts w:ascii="Arial" w:hAnsi="Arial" w:cs="Arial"/>
          <w:color w:val="000000"/>
          <w:sz w:val="22"/>
          <w:szCs w:val="22"/>
        </w:rPr>
        <w:t xml:space="preserve">Kč</w:t>
      </w:r>
      <w:r>
        <w:rPr>
          <w:rFonts w:ascii="Arial" w:hAnsi="Arial" w:cs="Arial"/>
          <w:color w:val="000000"/>
          <w:sz w:val="22"/>
          <w:szCs w:val="22"/>
        </w:rPr>
        <w:t xml:space="preserve">, kapitálové výdaje činí</w:t>
      </w:r>
      <w:r>
        <w:rPr>
          <w:rFonts w:ascii="Arial" w:hAnsi="Arial" w:cs="Arial"/>
          <w:color w:val="000000"/>
          <w:sz w:val="22"/>
          <w:szCs w:val="22"/>
        </w:rPr>
        <w:t xml:space="preserve"> 259.251.000</w:t>
      </w:r>
      <w:r>
        <w:rPr>
          <w:rFonts w:ascii="Arial" w:hAnsi="Arial" w:cs="Arial"/>
          <w:color w:val="000000"/>
          <w:sz w:val="22"/>
          <w:szCs w:val="22"/>
          <w:highlight w:val="none"/>
        </w:rPr>
        <w:t xml:space="preserve"> Kč (21,87</w:t>
      </w:r>
      <w:r>
        <w:rPr>
          <w:rFonts w:ascii="Arial" w:hAnsi="Arial" w:cs="Arial"/>
          <w:color w:val="000000"/>
          <w:sz w:val="22"/>
          <w:szCs w:val="22"/>
        </w:rPr>
        <w:t xml:space="preserve">% celkových výdajů)</w:t>
      </w:r>
      <w:r>
        <w:rPr>
          <w:rFonts w:ascii="Arial" w:hAnsi="Arial" w:cs="Arial"/>
          <w:color w:val="000000"/>
          <w:sz w:val="22"/>
          <w:szCs w:val="22"/>
        </w:rPr>
        <w:t xml:space="preserve">. Objem finančních prostředků vyčleněných</w:t>
      </w:r>
      <w:r>
        <w:rPr>
          <w:rFonts w:ascii="Arial" w:hAnsi="Arial" w:cs="Arial"/>
          <w:color w:val="000000"/>
          <w:sz w:val="22"/>
          <w:szCs w:val="22"/>
        </w:rPr>
        <w:t xml:space="preserve"> na </w:t>
      </w:r>
      <w:r>
        <w:rPr>
          <w:rFonts w:ascii="Arial" w:hAnsi="Arial" w:cs="Arial"/>
          <w:color w:val="000000"/>
          <w:sz w:val="22"/>
          <w:szCs w:val="22"/>
        </w:rPr>
        <w:t xml:space="preserve">investiční a kapitálové výdaje je dán finančně náročnými akcemi – dokončení rekonstrukce venkovního bazénu (69 mil. Kč) a vybudování chodníku a vodovodu v místní části Žilina (57,1 mil. Kč). </w:t>
      </w:r>
      <w:r>
        <w:rPr>
          <w:rFonts w:ascii="Arial" w:hAnsi="Arial" w:cs="Arial"/>
          <w:color w:val="000000"/>
          <w:sz w:val="22"/>
          <w:szCs w:val="22"/>
        </w:rPr>
        <w:t xml:space="preserve">Tyto náklady samy o sobě představují podstatnou část běžně vyčleněných inves</w:t>
      </w:r>
      <w:r>
        <w:rPr>
          <w:rFonts w:ascii="Arial" w:hAnsi="Arial" w:cs="Arial"/>
          <w:color w:val="000000"/>
          <w:sz w:val="22"/>
          <w:szCs w:val="22"/>
        </w:rPr>
        <w:t xml:space="preserve">tičních výdajů v rozpočtu města.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Výdajová stránka rozpočtu v sobě promítá politické priority a plnění programového prohlášení, projekty a záměry zakotvené ve strategických dokumentech města</w:t>
      </w:r>
      <w:r>
        <w:rPr>
          <w:rFonts w:ascii="Arial" w:hAnsi="Arial" w:cs="Arial"/>
          <w:color w:val="000000"/>
          <w:sz w:val="22"/>
          <w:szCs w:val="22"/>
        </w:rPr>
        <w:t xml:space="preserve"> (Strategický plán rozvoje města, Koncepce statické dopravy, Strategický plán investic do tepelného hospodářství a další)</w:t>
      </w:r>
      <w:r>
        <w:rPr>
          <w:rFonts w:ascii="Arial" w:hAnsi="Arial" w:cs="Arial"/>
          <w:color w:val="000000"/>
          <w:sz w:val="22"/>
          <w:szCs w:val="22"/>
        </w:rPr>
        <w:t xml:space="preserve">, ale </w:t>
      </w:r>
      <w:r>
        <w:rPr>
          <w:rFonts w:ascii="Arial" w:hAnsi="Arial" w:cs="Arial"/>
          <w:color w:val="000000"/>
          <w:sz w:val="22"/>
          <w:szCs w:val="22"/>
        </w:rPr>
        <w:t xml:space="preserve">také </w:t>
      </w:r>
      <w:r>
        <w:rPr>
          <w:rFonts w:ascii="Arial" w:hAnsi="Arial" w:cs="Arial"/>
          <w:color w:val="000000"/>
          <w:sz w:val="22"/>
          <w:szCs w:val="22"/>
        </w:rPr>
        <w:t xml:space="preserve">řešení operativních nutných či nahodilých záležitostí, odstraňování havárií a stavů hrozících havárií. Město nerezignuje na běžné opravy a údržbu majetku ve svém vlastnictví a v souladu se zásadou účelného a hospodárného nakládání s majetkem se věnuje sys</w:t>
      </w:r>
      <w:r>
        <w:rPr>
          <w:rFonts w:ascii="Arial" w:hAnsi="Arial" w:cs="Arial"/>
          <w:color w:val="000000"/>
          <w:sz w:val="22"/>
          <w:szCs w:val="22"/>
        </w:rPr>
        <w:t xml:space="preserve">tematické péči o široké portfolio majetku (komunikace a chodníky, veřejné osvětlení, bytový a nebytový fond, školské a kulturní budovy, sportovní zařízení, veřejné osvětlení, mosty a lávky, tepelné hospodářství, dětská hřiště a další mobiliář, městské lesy</w:t>
      </w:r>
      <w:r>
        <w:rPr>
          <w:rFonts w:ascii="Arial" w:hAnsi="Arial" w:cs="Arial"/>
          <w:color w:val="000000"/>
          <w:sz w:val="22"/>
          <w:szCs w:val="22"/>
        </w:rPr>
        <w:t xml:space="preserve">, veřejná prostranství</w:t>
      </w:r>
      <w:r>
        <w:rPr>
          <w:rFonts w:ascii="Arial" w:hAnsi="Arial" w:cs="Arial"/>
          <w:color w:val="000000"/>
          <w:sz w:val="22"/>
          <w:szCs w:val="22"/>
        </w:rPr>
        <w:t xml:space="preserve"> atd.).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V</w:t>
      </w:r>
      <w:r>
        <w:rPr>
          <w:rFonts w:ascii="Arial" w:hAnsi="Arial" w:cs="Arial"/>
          <w:color w:val="000000"/>
          <w:sz w:val="22"/>
          <w:szCs w:val="22"/>
        </w:rPr>
        <w:t xml:space="preserve"> návrhu </w:t>
      </w:r>
      <w:r>
        <w:rPr>
          <w:rFonts w:ascii="Arial" w:hAnsi="Arial" w:cs="Arial"/>
          <w:color w:val="000000"/>
          <w:sz w:val="22"/>
          <w:szCs w:val="22"/>
        </w:rPr>
        <w:t xml:space="preserve">rozpočtu jsou zařazeny </w:t>
      </w:r>
      <w:r>
        <w:rPr>
          <w:rFonts w:ascii="Arial" w:hAnsi="Arial" w:cs="Arial"/>
          <w:color w:val="000000"/>
          <w:sz w:val="22"/>
          <w:szCs w:val="22"/>
        </w:rPr>
        <w:t xml:space="preserve">výdaje na </w:t>
      </w:r>
      <w:r>
        <w:rPr>
          <w:rFonts w:ascii="Arial" w:hAnsi="Arial" w:cs="Arial"/>
          <w:color w:val="000000"/>
          <w:sz w:val="22"/>
          <w:szCs w:val="22"/>
        </w:rPr>
        <w:t xml:space="preserve">akce, které byly zahájeny v roce 2025 a dokončeny budou v roce 2026</w:t>
      </w:r>
      <w:r>
        <w:rPr>
          <w:rFonts w:ascii="Arial" w:hAnsi="Arial" w:cs="Arial"/>
          <w:color w:val="000000"/>
          <w:sz w:val="22"/>
          <w:szCs w:val="22"/>
        </w:rPr>
        <w:t xml:space="preserve"> (fakticky – realizačně či pouze finančním plněním – fakturací a jejich úhradou)</w:t>
      </w:r>
      <w:r>
        <w:rPr>
          <w:rFonts w:ascii="Arial" w:hAnsi="Arial" w:cs="Arial"/>
          <w:color w:val="000000"/>
          <w:sz w:val="22"/>
          <w:szCs w:val="22"/>
        </w:rPr>
        <w:t xml:space="preserve">. K realizaci jsou navrženy akce, které jsou připraveny nebo ve fázi dokončování přípravy (povolovací řízení, vydání stavebního povolení, projektová dokumentace pro </w:t>
      </w:r>
      <w:r>
        <w:rPr>
          <w:rFonts w:ascii="Arial" w:hAnsi="Arial" w:cs="Arial"/>
          <w:color w:val="000000"/>
          <w:sz w:val="22"/>
          <w:szCs w:val="22"/>
        </w:rPr>
        <w:t xml:space="preserve">povolení záměru</w:t>
      </w:r>
      <w:r>
        <w:rPr>
          <w:rFonts w:ascii="Arial" w:hAnsi="Arial" w:cs="Arial"/>
          <w:color w:val="000000"/>
          <w:sz w:val="22"/>
          <w:szCs w:val="22"/>
        </w:rPr>
        <w:t xml:space="preserve">). Taktéž jsou vyčleněny finanční prostředky na přípravu staveb (zprac</w:t>
      </w:r>
      <w:r>
        <w:rPr>
          <w:rFonts w:ascii="Arial" w:hAnsi="Arial" w:cs="Arial"/>
          <w:color w:val="000000"/>
          <w:sz w:val="22"/>
          <w:szCs w:val="22"/>
        </w:rPr>
        <w:t xml:space="preserve">ování projektových d</w:t>
      </w:r>
      <w:r>
        <w:rPr>
          <w:rFonts w:ascii="Arial" w:hAnsi="Arial" w:cs="Arial"/>
          <w:color w:val="000000"/>
          <w:sz w:val="22"/>
          <w:szCs w:val="22"/>
        </w:rPr>
        <w:t xml:space="preserve">okumentací). 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 významných položek lze uvést: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numPr>
          <w:ilvl w:val="0"/>
          <w:numId w:val="4"/>
        </w:numPr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Oprava a údržba místn</w:t>
      </w:r>
      <w:r>
        <w:rPr>
          <w:rFonts w:ascii="Arial" w:hAnsi="Arial" w:cs="Arial"/>
          <w:color w:val="000000"/>
          <w:sz w:val="22"/>
          <w:szCs w:val="22"/>
        </w:rPr>
        <w:t xml:space="preserve">ích komunikací, chodníků, mostů </w:t>
      </w:r>
      <w:r>
        <w:rPr>
          <w:rFonts w:ascii="Arial" w:hAnsi="Arial" w:cs="Arial"/>
          <w:color w:val="000000"/>
          <w:sz w:val="22"/>
          <w:szCs w:val="22"/>
        </w:rPr>
        <w:t xml:space="preserve">– celkem </w:t>
      </w:r>
      <w:r>
        <w:rPr>
          <w:rFonts w:ascii="Arial" w:hAnsi="Arial" w:cs="Arial"/>
          <w:color w:val="000000"/>
          <w:sz w:val="22"/>
          <w:szCs w:val="22"/>
        </w:rPr>
        <w:t xml:space="preserve">11</w:t>
      </w:r>
      <w:r>
        <w:rPr>
          <w:rFonts w:ascii="Arial" w:hAnsi="Arial" w:cs="Arial"/>
          <w:color w:val="000000"/>
          <w:sz w:val="22"/>
          <w:szCs w:val="22"/>
        </w:rPr>
        <w:t xml:space="preserve"> mil. Kč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numPr>
          <w:ilvl w:val="0"/>
          <w:numId w:val="4"/>
        </w:numPr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Oprava vodojemu ve Straníku (nerealizováno v roce 2025) – </w:t>
      </w:r>
      <w:r>
        <w:rPr>
          <w:rFonts w:ascii="Arial" w:hAnsi="Arial" w:cs="Arial"/>
          <w:color w:val="000000"/>
          <w:sz w:val="22"/>
          <w:szCs w:val="22"/>
        </w:rPr>
        <w:t xml:space="preserve">9</w:t>
      </w:r>
      <w:bookmarkStart w:id="0" w:name="_GoBack"/>
      <w:r/>
      <w:bookmarkEnd w:id="0"/>
      <w:r>
        <w:rPr>
          <w:rFonts w:ascii="Arial" w:hAnsi="Arial" w:cs="Arial"/>
          <w:color w:val="000000"/>
          <w:sz w:val="22"/>
          <w:szCs w:val="22"/>
        </w:rPr>
        <w:t xml:space="preserve"> mil. Kč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numPr>
          <w:ilvl w:val="0"/>
          <w:numId w:val="4"/>
        </w:numPr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Vyb</w:t>
      </w:r>
      <w:r>
        <w:rPr>
          <w:rFonts w:ascii="Arial" w:hAnsi="Arial" w:cs="Arial"/>
          <w:color w:val="000000"/>
          <w:sz w:val="22"/>
          <w:szCs w:val="22"/>
        </w:rPr>
        <w:t xml:space="preserve">udování </w:t>
      </w:r>
      <w:r>
        <w:rPr>
          <w:rFonts w:ascii="Arial" w:hAnsi="Arial" w:cs="Arial"/>
          <w:color w:val="000000"/>
          <w:sz w:val="22"/>
          <w:szCs w:val="22"/>
        </w:rPr>
        <w:t xml:space="preserve">tří </w:t>
      </w:r>
      <w:r>
        <w:rPr>
          <w:rFonts w:ascii="Arial" w:hAnsi="Arial" w:cs="Arial"/>
          <w:color w:val="000000"/>
          <w:sz w:val="22"/>
          <w:szCs w:val="22"/>
        </w:rPr>
        <w:t xml:space="preserve">míst pro polo/podzemní kontejnery </w:t>
      </w:r>
      <w:r>
        <w:rPr>
          <w:rFonts w:ascii="Arial" w:hAnsi="Arial" w:cs="Arial"/>
          <w:color w:val="000000"/>
          <w:sz w:val="22"/>
          <w:szCs w:val="22"/>
        </w:rPr>
        <w:t xml:space="preserve">+ 4x PD </w:t>
      </w:r>
      <w:r>
        <w:rPr>
          <w:rFonts w:ascii="Arial" w:hAnsi="Arial" w:cs="Arial"/>
          <w:color w:val="000000"/>
          <w:sz w:val="22"/>
          <w:szCs w:val="22"/>
        </w:rPr>
        <w:t xml:space="preserve">– </w:t>
      </w:r>
      <w:r>
        <w:rPr>
          <w:rFonts w:ascii="Arial" w:hAnsi="Arial" w:cs="Arial"/>
          <w:color w:val="000000"/>
          <w:sz w:val="22"/>
          <w:szCs w:val="22"/>
        </w:rPr>
        <w:t xml:space="preserve">7,4</w:t>
      </w:r>
      <w:r>
        <w:rPr>
          <w:rFonts w:ascii="Arial" w:hAnsi="Arial" w:cs="Arial"/>
          <w:color w:val="000000"/>
          <w:sz w:val="22"/>
          <w:szCs w:val="22"/>
        </w:rPr>
        <w:t xml:space="preserve"> mil. Kč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numPr>
          <w:ilvl w:val="0"/>
          <w:numId w:val="4"/>
        </w:numPr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Vybudování chodníku, opěrné zdi a vodovodu v Žilině, úsek Pstruží potok </w:t>
      </w:r>
      <w:r>
        <w:rPr>
          <w:rFonts w:ascii="Arial" w:hAnsi="Arial" w:cs="Arial"/>
          <w:color w:val="000000"/>
          <w:sz w:val="22"/>
          <w:szCs w:val="22"/>
        </w:rPr>
        <w:t xml:space="preserve">– Životice u NJ </w:t>
      </w:r>
      <w:r>
        <w:rPr>
          <w:rFonts w:ascii="Arial" w:hAnsi="Arial" w:cs="Arial"/>
          <w:color w:val="000000"/>
          <w:sz w:val="22"/>
          <w:szCs w:val="22"/>
        </w:rPr>
        <w:t xml:space="preserve">– 57</w:t>
      </w:r>
      <w:r>
        <w:rPr>
          <w:rFonts w:ascii="Arial" w:hAnsi="Arial" w:cs="Arial"/>
          <w:color w:val="000000"/>
          <w:sz w:val="22"/>
          <w:szCs w:val="22"/>
        </w:rPr>
        <w:t xml:space="preserve">,</w:t>
      </w:r>
      <w:r>
        <w:rPr>
          <w:rFonts w:ascii="Arial" w:hAnsi="Arial" w:cs="Arial"/>
          <w:color w:val="000000"/>
          <w:sz w:val="22"/>
          <w:szCs w:val="22"/>
        </w:rPr>
        <w:t xml:space="preserve">1</w:t>
      </w:r>
      <w:r>
        <w:rPr>
          <w:rFonts w:ascii="Arial" w:hAnsi="Arial" w:cs="Arial"/>
          <w:color w:val="000000"/>
          <w:sz w:val="22"/>
          <w:szCs w:val="22"/>
        </w:rPr>
        <w:t xml:space="preserve"> mil. </w:t>
      </w:r>
      <w:r>
        <w:rPr>
          <w:rFonts w:ascii="Arial" w:hAnsi="Arial" w:cs="Arial"/>
          <w:color w:val="000000"/>
          <w:sz w:val="22"/>
          <w:szCs w:val="22"/>
        </w:rPr>
        <w:t xml:space="preserve">Kč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numPr>
          <w:ilvl w:val="0"/>
          <w:numId w:val="4"/>
        </w:numPr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Rekonstrukce mostu Dolní brána – U Grasmanky (Lapos) – 23,65 mil. Kč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numPr>
          <w:ilvl w:val="0"/>
          <w:numId w:val="4"/>
        </w:numPr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Opravy školní žákovských šaten na ZŠ Komenského 66 a 68 – </w:t>
      </w:r>
      <w:r>
        <w:rPr>
          <w:rFonts w:ascii="Arial" w:hAnsi="Arial" w:cs="Arial"/>
          <w:color w:val="000000"/>
          <w:sz w:val="22"/>
          <w:szCs w:val="22"/>
        </w:rPr>
        <w:t xml:space="preserve">celkem </w:t>
      </w:r>
      <w:r>
        <w:rPr>
          <w:rFonts w:ascii="Arial" w:hAnsi="Arial" w:cs="Arial"/>
          <w:color w:val="000000"/>
          <w:sz w:val="22"/>
          <w:szCs w:val="22"/>
        </w:rPr>
        <w:t xml:space="preserve">10,9 mil. Kč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numPr>
          <w:ilvl w:val="0"/>
          <w:numId w:val="4"/>
        </w:numPr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Oprava vnějšího pláště historické budovy Beskydského divadla – 8,5 mil.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numPr>
          <w:ilvl w:val="0"/>
          <w:numId w:val="4"/>
        </w:numPr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Rekonstrukce sociálního zařízení v amfiteátru Skalky – 7,5 mil. Kč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numPr>
          <w:ilvl w:val="0"/>
          <w:numId w:val="4"/>
        </w:numPr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Opravy domů v MPR – celkem 17,3 mil. Kč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numPr>
          <w:ilvl w:val="0"/>
          <w:numId w:val="4"/>
        </w:numPr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Rekonstrukce venkovního bazénu (dokončení) – 69 mil. Kč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numPr>
          <w:ilvl w:val="0"/>
          <w:numId w:val="4"/>
        </w:numPr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Fotovoltaická elektrárna na střeše bazénu – 5,9 mil. Kč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numPr>
          <w:ilvl w:val="0"/>
          <w:numId w:val="4"/>
        </w:numPr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Vybudování expozice Pod Popelem v domě Křižíkova </w:t>
      </w:r>
      <w:r>
        <w:rPr>
          <w:rFonts w:ascii="Arial" w:hAnsi="Arial" w:cs="Arial"/>
          <w:color w:val="000000"/>
          <w:sz w:val="22"/>
          <w:szCs w:val="22"/>
        </w:rPr>
        <w:t xml:space="preserve">čp. </w:t>
      </w:r>
      <w:r>
        <w:rPr>
          <w:rFonts w:ascii="Arial" w:hAnsi="Arial" w:cs="Arial"/>
          <w:color w:val="000000"/>
          <w:sz w:val="22"/>
          <w:szCs w:val="22"/>
        </w:rPr>
        <w:t xml:space="preserve">91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–</w:t>
      </w:r>
      <w:r>
        <w:rPr>
          <w:rFonts w:ascii="Arial" w:hAnsi="Arial" w:cs="Arial"/>
          <w:color w:val="000000"/>
          <w:sz w:val="22"/>
          <w:szCs w:val="22"/>
        </w:rPr>
        <w:t xml:space="preserve"> 3 mil. Kč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numPr>
          <w:ilvl w:val="0"/>
          <w:numId w:val="4"/>
        </w:numPr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Nákup nových PC s operačním systémem MS Windows 11 vč. licencí </w:t>
      </w:r>
      <w:r>
        <w:rPr>
          <w:rFonts w:ascii="Arial" w:hAnsi="Arial" w:cs="Arial"/>
          <w:color w:val="000000"/>
          <w:sz w:val="22"/>
          <w:szCs w:val="22"/>
        </w:rPr>
        <w:t xml:space="preserve">a nových LCD monitorů pro zaměstnance města, </w:t>
      </w:r>
      <w:r>
        <w:rPr>
          <w:rFonts w:ascii="Arial" w:hAnsi="Arial" w:cs="Arial"/>
          <w:color w:val="000000"/>
          <w:sz w:val="22"/>
          <w:szCs w:val="22"/>
        </w:rPr>
        <w:t xml:space="preserve">notebooků pro nové členy zastupitelstva města – 9,48 mil. Kč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numPr>
          <w:ilvl w:val="0"/>
          <w:numId w:val="4"/>
        </w:numPr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Příspěvek na investice TSM na pořízení techniky – celkem 6,3 mil. Kč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 některých akcí se předpokládá víceleté financování (Příloha č. 3 rozpočtu), v návrhu rozpočtu na rok 2026 je tedy zařazena </w:t>
      </w:r>
      <w:r>
        <w:rPr>
          <w:rFonts w:ascii="Arial" w:hAnsi="Arial" w:cs="Arial"/>
          <w:color w:val="000000"/>
          <w:sz w:val="22"/>
          <w:szCs w:val="22"/>
        </w:rPr>
        <w:t xml:space="preserve">pouze částka čerpaná v roce 2026</w:t>
      </w:r>
      <w:r>
        <w:rPr>
          <w:rFonts w:ascii="Arial" w:hAnsi="Arial" w:cs="Arial"/>
          <w:color w:val="000000"/>
          <w:sz w:val="22"/>
          <w:szCs w:val="22"/>
        </w:rPr>
        <w:t xml:space="preserve">. Jedná se zejména o: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numPr>
          <w:ilvl w:val="0"/>
          <w:numId w:val="5"/>
        </w:numPr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Revitalizace objektu Suvorovova 152 –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III. etapa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10</w:t>
      </w:r>
      <w:r>
        <w:rPr>
          <w:rFonts w:ascii="Arial" w:hAnsi="Arial" w:cs="Arial"/>
          <w:sz w:val="22"/>
          <w:szCs w:val="22"/>
        </w:rPr>
        <w:t xml:space="preserve"> mil. Kč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2"/>
        <w:numPr>
          <w:ilvl w:val="0"/>
          <w:numId w:val="5"/>
        </w:numPr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Zpracování projektových dokumentací ke stavebním akcím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Město </w:t>
      </w:r>
      <w:r>
        <w:rPr>
          <w:rFonts w:ascii="Arial" w:hAnsi="Arial" w:cs="Arial"/>
          <w:sz w:val="22"/>
          <w:szCs w:val="22"/>
        </w:rPr>
        <w:t xml:space="preserve">pokračuje v přípravě významných strategických</w:t>
      </w:r>
      <w:r>
        <w:rPr>
          <w:rFonts w:ascii="Arial" w:hAnsi="Arial" w:cs="Arial"/>
          <w:sz w:val="22"/>
          <w:szCs w:val="22"/>
        </w:rPr>
        <w:t xml:space="preserve"> investiční</w:t>
      </w:r>
      <w:r>
        <w:rPr>
          <w:rFonts w:ascii="Arial" w:hAnsi="Arial" w:cs="Arial"/>
          <w:sz w:val="22"/>
          <w:szCs w:val="22"/>
        </w:rPr>
        <w:t xml:space="preserve">ch záměrů, které přispějí k jeho rozvoji</w:t>
      </w:r>
      <w:r>
        <w:rPr>
          <w:rFonts w:ascii="Arial" w:hAnsi="Arial" w:cs="Arial"/>
          <w:sz w:val="22"/>
          <w:szCs w:val="22"/>
        </w:rPr>
        <w:t xml:space="preserve">. V rámci přípravy těchto </w:t>
      </w:r>
      <w:r>
        <w:rPr>
          <w:rFonts w:ascii="Arial" w:hAnsi="Arial" w:cs="Arial"/>
          <w:sz w:val="22"/>
          <w:szCs w:val="22"/>
        </w:rPr>
        <w:t xml:space="preserve">projektů se v roce 2026 </w:t>
      </w:r>
      <w:r>
        <w:rPr>
          <w:rFonts w:ascii="Arial" w:hAnsi="Arial" w:cs="Arial"/>
          <w:sz w:val="22"/>
          <w:szCs w:val="22"/>
        </w:rPr>
        <w:t xml:space="preserve">zahájí či </w:t>
      </w:r>
      <w:r>
        <w:rPr>
          <w:rFonts w:ascii="Arial" w:hAnsi="Arial" w:cs="Arial"/>
          <w:sz w:val="22"/>
          <w:szCs w:val="22"/>
        </w:rPr>
        <w:t xml:space="preserve">bude pokračovat ve zpracování</w:t>
      </w:r>
      <w:r>
        <w:rPr>
          <w:rFonts w:ascii="Arial" w:hAnsi="Arial" w:cs="Arial"/>
          <w:sz w:val="22"/>
          <w:szCs w:val="22"/>
        </w:rPr>
        <w:t xml:space="preserve"> projektových dokumentací: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2"/>
        <w:numPr>
          <w:ilvl w:val="0"/>
          <w:numId w:val="6"/>
        </w:numPr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Domeček - nový objekt pro ProSenior (smlouva na zpracování PD uzavřena v roce 2025</w:t>
      </w:r>
      <w:r>
        <w:rPr>
          <w:rFonts w:ascii="Arial" w:hAnsi="Arial" w:cs="Arial"/>
          <w:sz w:val="22"/>
          <w:szCs w:val="22"/>
        </w:rPr>
        <w:t xml:space="preserve">, projekční a inženýrská činnost, povolovací řízení 2026 – 2027</w:t>
      </w:r>
      <w:r>
        <w:rPr>
          <w:rFonts w:ascii="Arial" w:hAnsi="Arial" w:cs="Arial"/>
          <w:sz w:val="22"/>
          <w:szCs w:val="22"/>
        </w:rPr>
        <w:t xml:space="preserve">) – </w:t>
      </w:r>
      <w:r>
        <w:rPr>
          <w:rFonts w:ascii="Arial" w:hAnsi="Arial" w:cs="Arial"/>
          <w:sz w:val="22"/>
          <w:szCs w:val="22"/>
        </w:rPr>
        <w:t xml:space="preserve">1,5</w:t>
      </w:r>
      <w:r>
        <w:rPr>
          <w:rFonts w:ascii="Arial" w:hAnsi="Arial" w:cs="Arial"/>
          <w:sz w:val="22"/>
          <w:szCs w:val="22"/>
        </w:rPr>
        <w:t xml:space="preserve"> mil. Kč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2"/>
        <w:numPr>
          <w:ilvl w:val="0"/>
          <w:numId w:val="6"/>
        </w:numPr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Multifunkční sportovní hala Jičínka (</w:t>
      </w:r>
      <w:r>
        <w:rPr>
          <w:rFonts w:ascii="Arial" w:hAnsi="Arial" w:cs="Arial"/>
          <w:sz w:val="22"/>
          <w:szCs w:val="22"/>
        </w:rPr>
        <w:t xml:space="preserve">projekční práce od roku 2024, </w:t>
      </w:r>
      <w:r>
        <w:rPr>
          <w:rFonts w:ascii="Arial" w:hAnsi="Arial" w:cs="Arial"/>
          <w:sz w:val="22"/>
          <w:szCs w:val="22"/>
        </w:rPr>
        <w:t xml:space="preserve">dokončení PD</w:t>
      </w:r>
      <w:r>
        <w:rPr>
          <w:rFonts w:ascii="Arial" w:hAnsi="Arial" w:cs="Arial"/>
          <w:sz w:val="22"/>
          <w:szCs w:val="22"/>
        </w:rPr>
        <w:t xml:space="preserve">, inženýrské činnosti a povolovací řízení</w:t>
      </w:r>
      <w:r>
        <w:rPr>
          <w:rFonts w:ascii="Arial" w:hAnsi="Arial" w:cs="Arial"/>
          <w:sz w:val="22"/>
          <w:szCs w:val="22"/>
        </w:rPr>
        <w:t xml:space="preserve"> v roce 2026</w:t>
      </w:r>
      <w:r>
        <w:rPr>
          <w:rFonts w:ascii="Arial" w:hAnsi="Arial" w:cs="Arial"/>
          <w:sz w:val="22"/>
          <w:szCs w:val="22"/>
        </w:rPr>
        <w:t xml:space="preserve">) – </w:t>
      </w:r>
      <w:r>
        <w:rPr>
          <w:rFonts w:ascii="Arial" w:hAnsi="Arial" w:cs="Arial"/>
          <w:sz w:val="22"/>
          <w:szCs w:val="22"/>
        </w:rPr>
        <w:t xml:space="preserve">17</w:t>
      </w:r>
      <w:r>
        <w:rPr>
          <w:rFonts w:ascii="Arial" w:hAnsi="Arial" w:cs="Arial"/>
          <w:sz w:val="22"/>
          <w:szCs w:val="22"/>
        </w:rPr>
        <w:t xml:space="preserve"> mil. Kč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2"/>
        <w:numPr>
          <w:ilvl w:val="0"/>
          <w:numId w:val="6"/>
        </w:numPr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Tenisová hala (veřejná zakázka na zpracová</w:t>
      </w:r>
      <w:r>
        <w:rPr>
          <w:rFonts w:ascii="Arial" w:hAnsi="Arial" w:cs="Arial"/>
          <w:sz w:val="22"/>
          <w:szCs w:val="22"/>
        </w:rPr>
        <w:t xml:space="preserve">ní PD </w:t>
      </w:r>
      <w:r>
        <w:rPr>
          <w:rFonts w:ascii="Arial" w:hAnsi="Arial" w:cs="Arial"/>
          <w:sz w:val="22"/>
          <w:szCs w:val="22"/>
        </w:rPr>
        <w:t xml:space="preserve">bude </w:t>
      </w:r>
      <w:r>
        <w:rPr>
          <w:rFonts w:ascii="Arial" w:hAnsi="Arial" w:cs="Arial"/>
          <w:sz w:val="22"/>
          <w:szCs w:val="22"/>
        </w:rPr>
        <w:t xml:space="preserve">vyhlášena </w:t>
      </w:r>
      <w:r>
        <w:rPr>
          <w:rFonts w:ascii="Arial" w:hAnsi="Arial" w:cs="Arial"/>
          <w:sz w:val="22"/>
          <w:szCs w:val="22"/>
        </w:rPr>
        <w:t xml:space="preserve">na konci roku</w:t>
      </w:r>
      <w:r>
        <w:rPr>
          <w:rFonts w:ascii="Arial" w:hAnsi="Arial" w:cs="Arial"/>
          <w:sz w:val="22"/>
          <w:szCs w:val="22"/>
        </w:rPr>
        <w:t xml:space="preserve"> 2025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případně na začátku roku 2026,</w:t>
      </w:r>
      <w:r>
        <w:rPr>
          <w:rFonts w:ascii="Arial" w:hAnsi="Arial" w:cs="Arial"/>
          <w:sz w:val="22"/>
          <w:szCs w:val="22"/>
        </w:rPr>
        <w:t xml:space="preserve"> projekční práce v roce 2026 – 2027</w:t>
      </w:r>
      <w:r>
        <w:rPr>
          <w:rFonts w:ascii="Arial" w:hAnsi="Arial" w:cs="Arial"/>
          <w:sz w:val="22"/>
          <w:szCs w:val="22"/>
        </w:rPr>
        <w:t xml:space="preserve">) – 3</w:t>
      </w:r>
      <w:r>
        <w:rPr>
          <w:rFonts w:ascii="Arial" w:hAnsi="Arial" w:cs="Arial"/>
          <w:sz w:val="22"/>
          <w:szCs w:val="22"/>
        </w:rPr>
        <w:t xml:space="preserve"> mil. Kč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2"/>
        <w:numPr>
          <w:ilvl w:val="0"/>
          <w:numId w:val="6"/>
        </w:numPr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Tělocvična ZŠ Tyršova (veřejná zakázka na zpracová</w:t>
      </w:r>
      <w:r>
        <w:rPr>
          <w:rFonts w:ascii="Arial" w:hAnsi="Arial" w:cs="Arial"/>
          <w:sz w:val="22"/>
          <w:szCs w:val="22"/>
        </w:rPr>
        <w:t xml:space="preserve">ní PD </w:t>
      </w:r>
      <w:r>
        <w:rPr>
          <w:rFonts w:ascii="Arial" w:hAnsi="Arial" w:cs="Arial"/>
          <w:sz w:val="22"/>
          <w:szCs w:val="22"/>
        </w:rPr>
        <w:t xml:space="preserve">bude </w:t>
      </w:r>
      <w:r>
        <w:rPr>
          <w:rFonts w:ascii="Arial" w:hAnsi="Arial" w:cs="Arial"/>
          <w:sz w:val="22"/>
          <w:szCs w:val="22"/>
        </w:rPr>
        <w:t xml:space="preserve">vyhlášena </w:t>
      </w:r>
      <w:r>
        <w:rPr>
          <w:rFonts w:ascii="Arial" w:hAnsi="Arial" w:cs="Arial"/>
          <w:sz w:val="22"/>
          <w:szCs w:val="22"/>
        </w:rPr>
        <w:t xml:space="preserve">na konci roku</w:t>
      </w:r>
      <w:r>
        <w:rPr>
          <w:rFonts w:ascii="Arial" w:hAnsi="Arial" w:cs="Arial"/>
          <w:sz w:val="22"/>
          <w:szCs w:val="22"/>
        </w:rPr>
        <w:t xml:space="preserve"> 2025</w:t>
      </w:r>
      <w:r>
        <w:rPr>
          <w:rFonts w:ascii="Arial" w:hAnsi="Arial" w:cs="Arial"/>
          <w:sz w:val="22"/>
          <w:szCs w:val="22"/>
        </w:rPr>
        <w:t xml:space="preserve">, případně na začátku roku 2026</w:t>
      </w:r>
      <w:r>
        <w:rPr>
          <w:rFonts w:ascii="Arial" w:hAnsi="Arial" w:cs="Arial"/>
          <w:sz w:val="22"/>
          <w:szCs w:val="22"/>
        </w:rPr>
        <w:t xml:space="preserve">, projekční práce v roce 2026 – 2027</w:t>
      </w:r>
      <w:r>
        <w:rPr>
          <w:rFonts w:ascii="Arial" w:hAnsi="Arial" w:cs="Arial"/>
          <w:sz w:val="22"/>
          <w:szCs w:val="22"/>
        </w:rPr>
        <w:t xml:space="preserve">) – 3</w:t>
      </w:r>
      <w:r>
        <w:rPr>
          <w:rFonts w:ascii="Arial" w:hAnsi="Arial" w:cs="Arial"/>
          <w:sz w:val="22"/>
          <w:szCs w:val="22"/>
        </w:rPr>
        <w:t xml:space="preserve">,3 mil. Kč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2"/>
        <w:numPr>
          <w:ilvl w:val="0"/>
          <w:numId w:val="6"/>
        </w:numPr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Kulturní dům Nové Slunce </w:t>
      </w:r>
      <w:r>
        <w:rPr>
          <w:rFonts w:ascii="Arial" w:hAnsi="Arial" w:cs="Arial"/>
          <w:sz w:val="22"/>
          <w:szCs w:val="22"/>
        </w:rPr>
        <w:t xml:space="preserve">(vysoutěžení zpracovatele PD v roce 2026</w:t>
      </w:r>
      <w:r>
        <w:rPr>
          <w:rFonts w:ascii="Arial" w:hAnsi="Arial" w:cs="Arial"/>
          <w:sz w:val="22"/>
          <w:szCs w:val="22"/>
        </w:rPr>
        <w:t xml:space="preserve">, projekční práce v roce 2026 – 2027</w:t>
      </w:r>
      <w:r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 xml:space="preserve">– </w:t>
      </w:r>
      <w:r>
        <w:rPr>
          <w:rFonts w:ascii="Arial" w:hAnsi="Arial" w:cs="Arial"/>
          <w:sz w:val="22"/>
          <w:szCs w:val="22"/>
        </w:rPr>
        <w:t xml:space="preserve">3</w:t>
      </w:r>
      <w:r>
        <w:rPr>
          <w:rFonts w:ascii="Arial" w:hAnsi="Arial" w:cs="Arial"/>
          <w:sz w:val="22"/>
          <w:szCs w:val="22"/>
        </w:rPr>
        <w:t xml:space="preserve"> mil. Kč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Do výdajů jsou dále zahrnuty finanční prostředky na zajištění chodu m</w:t>
      </w:r>
      <w:r>
        <w:rPr>
          <w:rFonts w:ascii="Arial" w:hAnsi="Arial" w:cs="Arial"/>
          <w:color w:val="000000"/>
          <w:sz w:val="22"/>
          <w:szCs w:val="22"/>
        </w:rPr>
        <w:t xml:space="preserve">ěstského úřadu (osobní náklady, </w:t>
      </w:r>
      <w:r>
        <w:rPr>
          <w:rFonts w:ascii="Arial" w:hAnsi="Arial" w:cs="Arial"/>
          <w:color w:val="000000"/>
          <w:sz w:val="22"/>
          <w:szCs w:val="22"/>
        </w:rPr>
        <w:t xml:space="preserve">zabezpečení </w:t>
      </w:r>
      <w:r>
        <w:rPr>
          <w:rFonts w:ascii="Arial" w:hAnsi="Arial" w:cs="Arial"/>
          <w:color w:val="000000"/>
          <w:sz w:val="22"/>
          <w:szCs w:val="22"/>
        </w:rPr>
        <w:t xml:space="preserve">správy a </w:t>
      </w:r>
      <w:r>
        <w:rPr>
          <w:rFonts w:ascii="Arial" w:hAnsi="Arial" w:cs="Arial"/>
          <w:color w:val="000000"/>
          <w:sz w:val="22"/>
          <w:szCs w:val="22"/>
        </w:rPr>
        <w:t xml:space="preserve">provozu budov), na provoz</w:t>
      </w:r>
      <w:r>
        <w:rPr>
          <w:rFonts w:ascii="Arial" w:hAnsi="Arial" w:cs="Arial"/>
          <w:color w:val="000000"/>
          <w:sz w:val="22"/>
          <w:szCs w:val="22"/>
        </w:rPr>
        <w:t xml:space="preserve">, údržbu a opravy</w:t>
      </w:r>
      <w:r>
        <w:rPr>
          <w:rFonts w:ascii="Arial" w:hAnsi="Arial" w:cs="Arial"/>
          <w:color w:val="000000"/>
          <w:sz w:val="22"/>
          <w:szCs w:val="22"/>
        </w:rPr>
        <w:t xml:space="preserve"> školských a kulturních organizací, sportovních zařízení ve vlastnictví města, zajištění dopravní obslužnosti ve městě (MHD, sdílená kola), zajištění bezpečnosti a místních záležitostí veřejného pořádku (provoz Městské policie), zajištění provoz</w:t>
      </w:r>
      <w:r>
        <w:rPr>
          <w:rFonts w:ascii="Arial" w:hAnsi="Arial" w:cs="Arial"/>
          <w:color w:val="000000"/>
          <w:sz w:val="22"/>
          <w:szCs w:val="22"/>
        </w:rPr>
        <w:t xml:space="preserve">u sociálních služeb včetně zahájení poskytování nových sociálních služeb (ProSenior), rozvoj turismu, cestovního ruchu a zahraničních vztahů (Návštěvnické centrum – město klobouků).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Dochází k navýšení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(„valorizaci“) finančních prostředků</w:t>
      </w:r>
      <w:r>
        <w:rPr>
          <w:rFonts w:ascii="Arial" w:hAnsi="Arial" w:cs="Arial"/>
          <w:color w:val="000000"/>
          <w:sz w:val="22"/>
          <w:szCs w:val="22"/>
        </w:rPr>
        <w:t xml:space="preserve"> v dotačních programech v oblasti sociální, zejména na provoz organizací poskytujících sociální služby, dotace spolkům, sportovním oddílům a dalším subjektům na podporu sportu, kultury, volného času, estetizace objektů a péče o památky. 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Součástí výdajů jsou taktéž finanční prostředky na zajištění chodu školských a kultur</w:t>
      </w:r>
      <w:r>
        <w:rPr>
          <w:rFonts w:ascii="Arial" w:hAnsi="Arial" w:cs="Arial"/>
          <w:color w:val="000000"/>
          <w:sz w:val="22"/>
          <w:szCs w:val="22"/>
        </w:rPr>
        <w:t xml:space="preserve">ních příspěvkových organizací a na zajištění činnosti technických služeb (opravy komunikací a chodníků, odvoz komunálního odpadu, správa veřejného osvětlení, údržba veřejné zeleně, správa hřbitovů, údržba a opravy dětských hřišť, provoz veřejných WC, oprav</w:t>
      </w:r>
      <w:r>
        <w:rPr>
          <w:rFonts w:ascii="Arial" w:hAnsi="Arial" w:cs="Arial"/>
          <w:color w:val="000000"/>
          <w:sz w:val="22"/>
          <w:szCs w:val="22"/>
        </w:rPr>
        <w:t xml:space="preserve">y a údržba městského mobiliáře</w:t>
      </w:r>
      <w:r>
        <w:rPr>
          <w:rFonts w:ascii="Arial" w:hAnsi="Arial" w:cs="Arial"/>
          <w:color w:val="000000"/>
          <w:sz w:val="22"/>
          <w:szCs w:val="22"/>
        </w:rPr>
        <w:t xml:space="preserve">, správa sportovních zařízení). </w:t>
      </w:r>
      <w:r>
        <w:rPr>
          <w:rFonts w:ascii="Arial" w:hAnsi="Arial" w:cs="Arial"/>
          <w:color w:val="000000"/>
          <w:sz w:val="22"/>
          <w:szCs w:val="22"/>
        </w:rPr>
        <w:t xml:space="preserve">Alokovány jsou také prostředky na obnovu, opravy a doplnění techniky a strojů nezbytných k zajištění úkolů realizovaných </w:t>
      </w:r>
      <w:r>
        <w:rPr>
          <w:rFonts w:ascii="Arial" w:hAnsi="Arial" w:cs="Arial"/>
          <w:color w:val="000000"/>
          <w:sz w:val="22"/>
          <w:szCs w:val="22"/>
        </w:rPr>
        <w:t xml:space="preserve">TSM</w:t>
      </w:r>
      <w:r>
        <w:rPr>
          <w:rFonts w:ascii="Arial" w:hAnsi="Arial" w:cs="Arial"/>
          <w:color w:val="000000"/>
          <w:sz w:val="22"/>
          <w:szCs w:val="22"/>
        </w:rPr>
        <w:t xml:space="preserve">.</w:t>
      </w:r>
      <w:r>
        <w:rPr>
          <w:rFonts w:ascii="Arial" w:hAnsi="Arial" w:cs="Arial"/>
          <w:color w:val="000000"/>
          <w:sz w:val="22"/>
          <w:szCs w:val="22"/>
        </w:rPr>
        <w:t xml:space="preserve"> Celkový příspěvek zřizovatele na provoz, údržbu, opravy a investice pro TSM je navržen ve výši 117 mil. Kč. 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Významnou změnou mající dopad do </w:t>
      </w:r>
      <w:r>
        <w:rPr>
          <w:rFonts w:ascii="Arial" w:hAnsi="Arial" w:cs="Arial"/>
          <w:color w:val="000000"/>
          <w:sz w:val="22"/>
          <w:szCs w:val="22"/>
        </w:rPr>
        <w:t xml:space="preserve">rozpočtu města je nabytí majetku (sportovišť) Tělovýchovné jednoty Nový Jičín, z. s. </w:t>
      </w:r>
      <w:r>
        <w:rPr>
          <w:rFonts w:ascii="Arial" w:hAnsi="Arial" w:cs="Arial"/>
          <w:color w:val="000000"/>
          <w:sz w:val="22"/>
          <w:szCs w:val="22"/>
        </w:rPr>
        <w:t xml:space="preserve">do vlastnictví města</w:t>
      </w:r>
      <w:r>
        <w:rPr>
          <w:rFonts w:ascii="Arial" w:hAnsi="Arial" w:cs="Arial"/>
          <w:color w:val="000000"/>
          <w:sz w:val="22"/>
          <w:szCs w:val="22"/>
        </w:rPr>
        <w:t xml:space="preserve"> v roce 2025 a jeho svěření TSM. V návrhu rozpočtu města jsou zařazeny nezbytné výdaje </w:t>
      </w:r>
      <w:r>
        <w:rPr>
          <w:rFonts w:ascii="Arial" w:hAnsi="Arial" w:cs="Arial"/>
          <w:color w:val="000000"/>
          <w:sz w:val="22"/>
          <w:szCs w:val="22"/>
        </w:rPr>
        <w:t xml:space="preserve">na provoz, údržbu a investice do sportovišť v celkové výši 9,6 mil. Kč. </w:t>
      </w:r>
      <w:r>
        <w:rPr>
          <w:rFonts w:ascii="Arial" w:hAnsi="Arial" w:cs="Arial"/>
          <w:color w:val="000000"/>
          <w:sz w:val="22"/>
          <w:szCs w:val="22"/>
        </w:rPr>
        <w:t xml:space="preserve">Pro rok 2026 a další již nebude</w:t>
      </w:r>
      <w:r>
        <w:rPr>
          <w:rFonts w:ascii="Arial" w:hAnsi="Arial" w:cs="Arial"/>
          <w:color w:val="000000"/>
          <w:sz w:val="22"/>
          <w:szCs w:val="22"/>
        </w:rPr>
        <w:t xml:space="preserve"> poskytována dotace pro TJ na správu, provoz, opravy a údržbu sportovišť. 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Novelou školského zákona dojde s účinností od 1. 1. 2026 ke změně financování platů nepedagogických pracovníků škol a školských zařízení a ostatních neinvestičních výdajů (ONIV). Namísto státního rozpočtu budou tyto náklady financovat zřizovatelé</w:t>
      </w:r>
      <w:r>
        <w:rPr>
          <w:rFonts w:ascii="Arial" w:hAnsi="Arial" w:cs="Arial"/>
          <w:color w:val="000000"/>
          <w:sz w:val="22"/>
          <w:szCs w:val="22"/>
        </w:rPr>
        <w:t xml:space="preserve"> těchto zařízení</w:t>
      </w:r>
      <w:r>
        <w:rPr>
          <w:rFonts w:ascii="Arial" w:hAnsi="Arial" w:cs="Arial"/>
          <w:color w:val="000000"/>
          <w:sz w:val="22"/>
          <w:szCs w:val="22"/>
        </w:rPr>
        <w:t xml:space="preserve">. V návrhu rozpočtu města jsou tak zařazeny náklady v celkové výši cca 59 mil. Kč pro 130 zaměstnanců (formou příspěvku na provoz u jednotlivých škol a školských zařízení</w:t>
      </w:r>
      <w:r>
        <w:rPr>
          <w:rFonts w:ascii="Arial" w:hAnsi="Arial" w:cs="Arial"/>
          <w:color w:val="000000"/>
          <w:sz w:val="22"/>
          <w:szCs w:val="22"/>
        </w:rPr>
        <w:t xml:space="preserve"> na ORJ 414</w:t>
      </w:r>
      <w:r>
        <w:rPr>
          <w:rFonts w:ascii="Arial" w:hAnsi="Arial" w:cs="Arial"/>
          <w:color w:val="000000"/>
          <w:sz w:val="22"/>
          <w:szCs w:val="22"/>
        </w:rPr>
        <w:t xml:space="preserve">). Zároveň s touto změnou došlo k úpravě výnosu z daní (RUD) pro územní samosprávné celky. Rozdíl pro město Nový Jičín činí cca </w:t>
      </w:r>
      <w:r>
        <w:rPr>
          <w:rFonts w:ascii="Arial" w:hAnsi="Arial" w:cs="Arial"/>
          <w:color w:val="000000"/>
          <w:sz w:val="22"/>
          <w:szCs w:val="22"/>
        </w:rPr>
        <w:t xml:space="preserve">-</w:t>
      </w:r>
      <w:r>
        <w:rPr>
          <w:rFonts w:ascii="Arial" w:hAnsi="Arial" w:cs="Arial"/>
          <w:color w:val="000000"/>
          <w:sz w:val="22"/>
          <w:szCs w:val="22"/>
        </w:rPr>
        <w:t xml:space="preserve"> 4,3 mil. Kč. 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 ohledem na aktuální vývoj situace se v návrhu rozpočtu nepočítá s navýšením objemu prostředk</w:t>
      </w:r>
      <w:r>
        <w:rPr>
          <w:rFonts w:ascii="Arial" w:hAnsi="Arial" w:cs="Arial"/>
          <w:color w:val="000000"/>
          <w:sz w:val="22"/>
          <w:szCs w:val="22"/>
        </w:rPr>
        <w:t xml:space="preserve">ů na platy zaměstnanců financované městem (zaměstnanci města zařazení do městského úřadu, organizačních složek a městské policie, zaměstnanci příspěvkových organizací TSM, BD, MěKS, nepedagogičtí pracovníci školských příspěvkových organizací), s ohledem na</w:t>
      </w:r>
      <w:r>
        <w:rPr>
          <w:rFonts w:ascii="Arial" w:hAnsi="Arial" w:cs="Arial"/>
          <w:color w:val="000000"/>
          <w:sz w:val="22"/>
          <w:szCs w:val="22"/>
        </w:rPr>
        <w:t xml:space="preserve"> skutečnost, že se nepředpokládá navýšení platových tarifů zaměstnanců ve veřejných službách a správě. V případě, že ke změně tarifů dojde v průběhu roku 2026, bude město operativně reagovat úpravou rozpočtu a závazných ukazatelů příspěvkových organizací. 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Lze konstatovat, že město optimálně alokuje finanční prostředky na strategické a rozvojové projekty včetně jejich přípravy, na odstraňování havarijních stavů, běžnou údržbu a opravy </w:t>
      </w:r>
      <w:r>
        <w:rPr>
          <w:rFonts w:ascii="Arial" w:hAnsi="Arial" w:cs="Arial"/>
          <w:color w:val="000000"/>
          <w:sz w:val="22"/>
          <w:szCs w:val="22"/>
        </w:rPr>
        <w:t xml:space="preserve">městského majetku, </w:t>
      </w:r>
      <w:r>
        <w:rPr>
          <w:rFonts w:ascii="Arial" w:hAnsi="Arial" w:cs="Arial"/>
          <w:color w:val="000000"/>
          <w:sz w:val="22"/>
          <w:szCs w:val="22"/>
        </w:rPr>
        <w:t xml:space="preserve">na </w:t>
      </w:r>
      <w:r>
        <w:rPr>
          <w:rFonts w:ascii="Arial" w:hAnsi="Arial" w:cs="Arial"/>
          <w:color w:val="000000"/>
          <w:sz w:val="22"/>
          <w:szCs w:val="22"/>
        </w:rPr>
        <w:t xml:space="preserve">rozvojové aktivity, na zabezpečení chodu městského úřadu a městem zřízených příspěvkových organizací a na služby, kter</w:t>
      </w:r>
      <w:r>
        <w:rPr>
          <w:rFonts w:ascii="Arial" w:hAnsi="Arial" w:cs="Arial"/>
          <w:color w:val="000000"/>
          <w:sz w:val="22"/>
          <w:szCs w:val="22"/>
        </w:rPr>
        <w:t xml:space="preserve">é občanům zajišťuje a poskytuje v souladu plněním úkolů stanovených zákonem o obcích (péče o potřeby občanů a rozvoj svého území).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Finanční prostředky se plánuje</w:t>
      </w:r>
      <w:r>
        <w:rPr>
          <w:rFonts w:ascii="Arial" w:hAnsi="Arial" w:cs="Arial"/>
          <w:color w:val="000000"/>
          <w:sz w:val="22"/>
          <w:szCs w:val="22"/>
        </w:rPr>
        <w:t xml:space="preserve"> vynaložit rovnoměrně podle potřeby napříč jednotlivými oblastmi a odvětvími.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 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 xml:space="preserve">Financování: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Třídu 8 představuje stav finančních prostředk</w:t>
      </w:r>
      <w:r>
        <w:rPr>
          <w:rFonts w:ascii="Arial" w:hAnsi="Arial" w:cs="Arial"/>
          <w:color w:val="000000"/>
          <w:sz w:val="22"/>
          <w:szCs w:val="22"/>
        </w:rPr>
        <w:t xml:space="preserve">ů na účtech města k 31. 12. 2025</w:t>
      </w:r>
      <w:r>
        <w:rPr>
          <w:rFonts w:ascii="Arial" w:hAnsi="Arial" w:cs="Arial"/>
          <w:color w:val="000000"/>
          <w:sz w:val="22"/>
          <w:szCs w:val="22"/>
        </w:rPr>
        <w:t xml:space="preserve">, jejichž zapojení se v rámci rozpočtového hospod</w:t>
      </w:r>
      <w:r>
        <w:rPr>
          <w:rFonts w:ascii="Arial" w:hAnsi="Arial" w:cs="Arial"/>
          <w:color w:val="000000"/>
          <w:sz w:val="22"/>
          <w:szCs w:val="22"/>
        </w:rPr>
        <w:t xml:space="preserve">aření roku 2026</w:t>
      </w:r>
      <w:r>
        <w:rPr>
          <w:rFonts w:ascii="Arial" w:hAnsi="Arial" w:cs="Arial"/>
          <w:color w:val="000000"/>
          <w:sz w:val="22"/>
          <w:szCs w:val="22"/>
        </w:rPr>
        <w:t xml:space="preserve"> předpokládá. V této třídě je taktéž zařazena splátka investičního účelového úvěru (čerpán v letech 2021 – 2022 ve výši 92,08 mil. Kč na revitalizaci tři bytových domů, splátky od roku 2023 na 15 let, úroková sazba 0,98 % p. a. s fixací do k</w:t>
      </w:r>
      <w:r>
        <w:rPr>
          <w:rFonts w:ascii="Arial" w:hAnsi="Arial" w:cs="Arial"/>
          <w:color w:val="000000"/>
          <w:sz w:val="22"/>
          <w:szCs w:val="22"/>
        </w:rPr>
        <w:t xml:space="preserve">once roku 2025, </w:t>
      </w:r>
      <w:r>
        <w:rPr>
          <w:rFonts w:ascii="Arial" w:hAnsi="Arial" w:cs="Arial"/>
          <w:color w:val="000000"/>
          <w:sz w:val="22"/>
          <w:szCs w:val="22"/>
        </w:rPr>
        <w:t xml:space="preserve">úroková sazba </w:t>
      </w:r>
      <w:r>
        <w:rPr>
          <w:rFonts w:ascii="Arial" w:hAnsi="Arial" w:cs="Arial"/>
          <w:color w:val="000000"/>
          <w:sz w:val="22"/>
          <w:szCs w:val="22"/>
        </w:rPr>
        <w:t xml:space="preserve">na období 2026 – 2030 ve výši 3,93 %</w:t>
      </w:r>
      <w:r>
        <w:rPr>
          <w:rFonts w:ascii="Arial" w:hAnsi="Arial" w:cs="Arial"/>
          <w:color w:val="000000"/>
          <w:sz w:val="22"/>
          <w:szCs w:val="22"/>
        </w:rPr>
        <w:t xml:space="preserve"> p. a.</w:t>
      </w:r>
      <w:r>
        <w:rPr>
          <w:rFonts w:ascii="Arial" w:hAnsi="Arial" w:cs="Arial"/>
          <w:color w:val="000000"/>
          <w:sz w:val="22"/>
          <w:szCs w:val="22"/>
        </w:rPr>
        <w:t xml:space="preserve">). </w:t>
      </w:r>
      <w:r>
        <w:rPr>
          <w:rFonts w:ascii="Arial" w:hAnsi="Arial" w:cs="Arial"/>
          <w:color w:val="000000"/>
          <w:sz w:val="22"/>
          <w:szCs w:val="22"/>
        </w:rPr>
        <w:t xml:space="preserve">Pro rok</w:t>
      </w:r>
      <w:r>
        <w:rPr>
          <w:rFonts w:ascii="Arial" w:hAnsi="Arial" w:cs="Arial"/>
          <w:color w:val="000000"/>
          <w:sz w:val="22"/>
          <w:szCs w:val="22"/>
        </w:rPr>
        <w:t xml:space="preserve"> 2026</w:t>
      </w:r>
      <w:r>
        <w:rPr>
          <w:rFonts w:ascii="Arial" w:hAnsi="Arial" w:cs="Arial"/>
          <w:color w:val="000000"/>
          <w:sz w:val="22"/>
          <w:szCs w:val="22"/>
        </w:rPr>
        <w:t xml:space="preserve"> se nepředpokládá přijetí </w:t>
      </w:r>
      <w:r>
        <w:rPr>
          <w:rFonts w:ascii="Arial" w:hAnsi="Arial" w:cs="Arial"/>
          <w:color w:val="000000"/>
          <w:sz w:val="22"/>
          <w:szCs w:val="22"/>
        </w:rPr>
        <w:t xml:space="preserve">nového</w:t>
      </w:r>
      <w:r>
        <w:rPr>
          <w:rFonts w:ascii="Arial" w:hAnsi="Arial" w:cs="Arial"/>
          <w:color w:val="000000"/>
          <w:sz w:val="22"/>
          <w:szCs w:val="22"/>
        </w:rPr>
        <w:t xml:space="preserve"> úvěru.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Míra zadlužení města </w:t>
      </w:r>
      <w:r>
        <w:rPr>
          <w:rFonts w:ascii="Arial" w:hAnsi="Arial" w:cs="Arial"/>
          <w:color w:val="000000"/>
          <w:sz w:val="22"/>
          <w:szCs w:val="22"/>
        </w:rPr>
        <w:t xml:space="preserve">(ukazatel zadluženosti dle zákona č. 23/2017 Sb., o pravidlech rozpočtové odpovědnosti) </w:t>
      </w:r>
      <w:r>
        <w:rPr>
          <w:rFonts w:ascii="Arial" w:hAnsi="Arial" w:cs="Arial"/>
          <w:color w:val="000000"/>
          <w:sz w:val="22"/>
          <w:szCs w:val="22"/>
        </w:rPr>
        <w:t xml:space="preserve">se splácením výše uvedeného úvěru </w:t>
      </w:r>
      <w:r>
        <w:rPr>
          <w:rFonts w:ascii="Arial" w:hAnsi="Arial" w:cs="Arial"/>
          <w:color w:val="000000"/>
          <w:sz w:val="22"/>
          <w:szCs w:val="22"/>
        </w:rPr>
        <w:t xml:space="preserve">po jeho čerpání snižuje, což zobrazuje následující přehled: 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K 31. 12. 2021 – 4,33 %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K 31. 12. 2022 – 12,99 %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K 31. 12. 2023 – 11,29 %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K 31. 12. 2024 – 9,19 %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K 31. 12. 2025</w:t>
      </w:r>
      <w:r>
        <w:rPr>
          <w:rFonts w:ascii="Arial" w:hAnsi="Arial" w:cs="Arial"/>
          <w:color w:val="000000"/>
          <w:sz w:val="22"/>
          <w:szCs w:val="22"/>
        </w:rPr>
        <w:t xml:space="preserve"> – 7,54 % (předpoklad)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 ohledem na postupné splácení dluhu bude míra</w:t>
      </w:r>
      <w:r>
        <w:rPr>
          <w:rFonts w:ascii="Arial" w:hAnsi="Arial" w:cs="Arial"/>
          <w:color w:val="000000"/>
          <w:sz w:val="22"/>
          <w:szCs w:val="22"/>
        </w:rPr>
        <w:t xml:space="preserve"> zadluženosti dále klesat (dle uvedeného zákona má územní samosprávný celek hospodařit tak, aby výše jeho dluhu nepřekročila 60 % průměru jeho příjmů za poslední 4 rozpočtové roky). Město tedy hospodaří v souladu se zásadou zdravých a udržitelných financí.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 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903"/>
          <w:rFonts w:ascii="Arial" w:hAnsi="Arial" w:cs="Arial"/>
          <w:color w:val="000000"/>
          <w:sz w:val="22"/>
          <w:szCs w:val="22"/>
          <w:u w:val="single"/>
        </w:rPr>
        <w:t xml:space="preserve">K bodu 2.:</w:t>
      </w:r>
      <w:r>
        <w:rPr>
          <w:rFonts w:ascii="Arial" w:hAnsi="Arial" w:cs="Arial"/>
          <w:color w:val="000000"/>
          <w:sz w:val="22"/>
          <w:szCs w:val="22"/>
        </w:rPr>
        <w:t xml:space="preserve"> V n</w:t>
      </w:r>
      <w:r>
        <w:rPr>
          <w:rFonts w:ascii="Arial" w:hAnsi="Arial" w:cs="Arial"/>
          <w:color w:val="000000"/>
          <w:sz w:val="22"/>
          <w:szCs w:val="22"/>
        </w:rPr>
        <w:t xml:space="preserve">ávrhu rozpočtu města na rok 2026</w:t>
      </w:r>
      <w:r>
        <w:rPr>
          <w:rFonts w:ascii="Arial" w:hAnsi="Arial" w:cs="Arial"/>
          <w:color w:val="000000"/>
          <w:sz w:val="22"/>
          <w:szCs w:val="22"/>
        </w:rPr>
        <w:t xml:space="preserve"> jsou identifikovány akce, jej</w:t>
      </w:r>
      <w:r>
        <w:rPr>
          <w:rFonts w:ascii="Arial" w:hAnsi="Arial" w:cs="Arial"/>
          <w:color w:val="000000"/>
          <w:sz w:val="22"/>
          <w:szCs w:val="22"/>
        </w:rPr>
        <w:t xml:space="preserve">ichž realizace přesáhne rok 2026</w:t>
      </w:r>
      <w:r>
        <w:rPr>
          <w:rFonts w:ascii="Arial" w:hAnsi="Arial" w:cs="Arial"/>
          <w:color w:val="000000"/>
          <w:sz w:val="22"/>
          <w:szCs w:val="22"/>
        </w:rPr>
        <w:t xml:space="preserve"> a závazky ze smluv tedy budou pl</w:t>
      </w:r>
      <w:r>
        <w:rPr>
          <w:rFonts w:ascii="Arial" w:hAnsi="Arial" w:cs="Arial"/>
          <w:color w:val="000000"/>
          <w:sz w:val="22"/>
          <w:szCs w:val="22"/>
        </w:rPr>
        <w:t xml:space="preserve">něny a financovány i v roce 2027</w:t>
      </w:r>
      <w:r>
        <w:rPr>
          <w:rFonts w:ascii="Arial" w:hAnsi="Arial" w:cs="Arial"/>
          <w:color w:val="000000"/>
          <w:sz w:val="22"/>
          <w:szCs w:val="22"/>
        </w:rPr>
        <w:t xml:space="preserve">. Jedná se jak o akce stavební, tak zejména přípravné spočívající v projekční a inženýrské činnosti a povolovacím řízení k budoucím stavbám. Z praxe je zřejmé, že v drt</w:t>
      </w:r>
      <w:r>
        <w:rPr>
          <w:rFonts w:ascii="Arial" w:hAnsi="Arial" w:cs="Arial"/>
          <w:color w:val="000000"/>
          <w:sz w:val="22"/>
          <w:szCs w:val="22"/>
        </w:rPr>
        <w:t xml:space="preserve">ivé většině případů není zadaná projektová dokumentace zpracována a zaplacena v roce, kdy byl zhotovitel vybrán, a projekční činnost i úhrada (části) ceny díla přechází do roku následujícího. Tato skutečnost je zřejmá u zpracování projektových dokumentací </w:t>
      </w:r>
      <w:r>
        <w:rPr>
          <w:rFonts w:ascii="Arial" w:hAnsi="Arial" w:cs="Arial"/>
          <w:sz w:val="22"/>
          <w:szCs w:val="22"/>
        </w:rPr>
        <w:t xml:space="preserve">na připravované rozsáhlé stavební akce, tak na některé velké stavební akce</w:t>
      </w:r>
      <w:r>
        <w:rPr>
          <w:rFonts w:ascii="Arial" w:hAnsi="Arial" w:cs="Arial"/>
          <w:sz w:val="22"/>
          <w:szCs w:val="22"/>
        </w:rPr>
        <w:t xml:space="preserve"> zahajované v roce 2026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Aby mohlo být v roce 2026</w:t>
      </w:r>
      <w:r>
        <w:rPr>
          <w:rFonts w:ascii="Arial" w:hAnsi="Arial" w:cs="Arial"/>
          <w:color w:val="000000"/>
          <w:sz w:val="22"/>
          <w:szCs w:val="22"/>
        </w:rPr>
        <w:t xml:space="preserve"> vyhlášeno zadávací řízení na výběr zhotovitele a následně mohla být uzavřena příslušná</w:t>
      </w:r>
      <w:r>
        <w:rPr>
          <w:rFonts w:ascii="Arial" w:hAnsi="Arial" w:cs="Arial"/>
          <w:color w:val="000000"/>
          <w:sz w:val="22"/>
          <w:szCs w:val="22"/>
        </w:rPr>
        <w:t xml:space="preserve"> smlouva s plněním i v roce 2027</w:t>
      </w:r>
      <w:r>
        <w:rPr>
          <w:rFonts w:ascii="Arial" w:hAnsi="Arial" w:cs="Arial"/>
          <w:color w:val="000000"/>
          <w:sz w:val="22"/>
          <w:szCs w:val="22"/>
        </w:rPr>
        <w:t xml:space="preserve">, je zastupitelstvu města předkládán návrh na schválení závazků na financování vybraných investičních </w:t>
      </w:r>
      <w:r>
        <w:rPr>
          <w:rFonts w:ascii="Arial" w:hAnsi="Arial" w:cs="Arial"/>
          <w:color w:val="000000"/>
          <w:sz w:val="22"/>
          <w:szCs w:val="22"/>
        </w:rPr>
        <w:t xml:space="preserve">a dalších akcí města na rok 2026 a 2027</w:t>
      </w:r>
      <w:r>
        <w:rPr>
          <w:rFonts w:ascii="Arial" w:hAnsi="Arial" w:cs="Arial"/>
          <w:color w:val="000000"/>
          <w:sz w:val="22"/>
          <w:szCs w:val="22"/>
        </w:rPr>
        <w:t xml:space="preserve"> (list č. 3 přílohy </w:t>
      </w:r>
      <w:r>
        <w:rPr>
          <w:rFonts w:ascii="Arial" w:hAnsi="Arial" w:cs="Arial"/>
          <w:color w:val="000000"/>
          <w:sz w:val="22"/>
          <w:szCs w:val="22"/>
        </w:rPr>
        <w:t xml:space="preserve">č. 1 usnesení). Výdaje roku 2027</w:t>
      </w:r>
      <w:r>
        <w:rPr>
          <w:rFonts w:ascii="Arial" w:hAnsi="Arial" w:cs="Arial"/>
          <w:color w:val="000000"/>
          <w:sz w:val="22"/>
          <w:szCs w:val="22"/>
        </w:rPr>
        <w:t xml:space="preserve"> jsou součástí návrhu střednědobého výhledu města na období </w:t>
      </w:r>
      <w:r>
        <w:rPr>
          <w:rFonts w:ascii="Arial" w:hAnsi="Arial" w:cs="Arial"/>
          <w:color w:val="000000"/>
          <w:sz w:val="22"/>
          <w:szCs w:val="22"/>
        </w:rPr>
        <w:t xml:space="preserve">2027 – 2030</w:t>
      </w:r>
      <w:r>
        <w:rPr>
          <w:rFonts w:ascii="Arial" w:hAnsi="Arial" w:cs="Arial"/>
          <w:color w:val="000000"/>
          <w:sz w:val="22"/>
          <w:szCs w:val="22"/>
        </w:rPr>
        <w:t xml:space="preserve">. Tyto předpokládané výdaje, respektive výdaje promítající vysoutěženou a zasmluvněnou cenu a skut</w:t>
      </w:r>
      <w:r>
        <w:rPr>
          <w:rFonts w:ascii="Arial" w:hAnsi="Arial" w:cs="Arial"/>
          <w:color w:val="000000"/>
          <w:sz w:val="22"/>
          <w:szCs w:val="22"/>
        </w:rPr>
        <w:t xml:space="preserve">ečně uhrazené výdaje v roce 2026</w:t>
      </w:r>
      <w:r>
        <w:rPr>
          <w:rFonts w:ascii="Arial" w:hAnsi="Arial" w:cs="Arial"/>
          <w:color w:val="000000"/>
          <w:sz w:val="22"/>
          <w:szCs w:val="22"/>
        </w:rPr>
        <w:t xml:space="preserve"> (průběžné platby), budou zařazeny do n</w:t>
      </w:r>
      <w:r>
        <w:rPr>
          <w:rFonts w:ascii="Arial" w:hAnsi="Arial" w:cs="Arial"/>
          <w:color w:val="000000"/>
          <w:sz w:val="22"/>
          <w:szCs w:val="22"/>
        </w:rPr>
        <w:t xml:space="preserve">ávrhu rozpočtu města na rok 2027</w:t>
      </w:r>
      <w:r>
        <w:rPr>
          <w:rFonts w:ascii="Arial" w:hAnsi="Arial" w:cs="Arial"/>
          <w:color w:val="000000"/>
          <w:sz w:val="22"/>
          <w:szCs w:val="22"/>
        </w:rPr>
        <w:t xml:space="preserve">.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 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903"/>
          <w:rFonts w:ascii="Arial" w:hAnsi="Arial" w:cs="Arial"/>
          <w:color w:val="000000"/>
          <w:sz w:val="22"/>
          <w:szCs w:val="22"/>
          <w:u w:val="single"/>
        </w:rPr>
        <w:t xml:space="preserve">K bodu 3.:</w:t>
      </w:r>
      <w:r>
        <w:rPr>
          <w:rFonts w:ascii="Arial" w:hAnsi="Arial" w:cs="Arial"/>
          <w:color w:val="000000"/>
          <w:sz w:val="22"/>
          <w:szCs w:val="22"/>
        </w:rPr>
        <w:t xml:space="preserve"> Při přípravě návrhu rozpočtu mě</w:t>
      </w:r>
      <w:r>
        <w:rPr>
          <w:rFonts w:ascii="Arial" w:hAnsi="Arial" w:cs="Arial"/>
          <w:color w:val="000000"/>
          <w:sz w:val="22"/>
          <w:szCs w:val="22"/>
        </w:rPr>
        <w:t xml:space="preserve">sta jsou do rozpočtu zařazovány výdaje na akce, u kterých se předpokládá jejich realizace a plnění v daném kalendářním roce. V praxi se však často stává, že i přes tento předpoklad dochází k realizaci akce přes dva kalendářní roky a částečná úhrada ceny je</w:t>
      </w:r>
      <w:r>
        <w:rPr>
          <w:rFonts w:ascii="Arial" w:hAnsi="Arial" w:cs="Arial"/>
          <w:color w:val="000000"/>
          <w:sz w:val="22"/>
          <w:szCs w:val="22"/>
        </w:rPr>
        <w:t xml:space="preserve"> tedy realizována až v roce následujícím. Je to nejčastěji způsobeno délkou přípravy zadání ze strany města, době trvání zadávacího řízení či nutností opakovat zadávací řízení na zhotovitele. V takovém případě by zakázka neměla být vyhlášena a smlouva by n</w:t>
      </w:r>
      <w:r>
        <w:rPr>
          <w:rFonts w:ascii="Arial" w:hAnsi="Arial" w:cs="Arial"/>
          <w:color w:val="000000"/>
          <w:sz w:val="22"/>
          <w:szCs w:val="22"/>
        </w:rPr>
        <w:t xml:space="preserve">eměla být podepsána, není-li zajištěno finanční krytí v rozpočtu města, tedy typicky do schválení rozpočtu města. Ovšem čekat s těmito kroky až na schválení rozpočtu se nejeví jako racionální, neboť by vznikala zbytečná prodleva. Jako neefektivní a časově </w:t>
      </w:r>
      <w:r>
        <w:rPr>
          <w:rFonts w:ascii="Arial" w:hAnsi="Arial" w:cs="Arial"/>
          <w:color w:val="000000"/>
          <w:sz w:val="22"/>
          <w:szCs w:val="22"/>
        </w:rPr>
        <w:t xml:space="preserve">a</w:t>
      </w:r>
      <w:r>
        <w:rPr>
          <w:rFonts w:ascii="Arial" w:hAnsi="Arial" w:cs="Arial"/>
          <w:color w:val="000000"/>
          <w:sz w:val="22"/>
          <w:szCs w:val="22"/>
        </w:rPr>
        <w:t xml:space="preserve">dministrativně náročné se jeví i schvalování akcí zastupitelstvem města pro konkrétní případy v průběhu daného roku. S ohledem na výše uvedené je předložen návrh usnesení, který vytvoří prostor, aby takovéto akce mohly být realizovány, respektive vysoutěže</w:t>
      </w:r>
      <w:r>
        <w:rPr>
          <w:rFonts w:ascii="Arial" w:hAnsi="Arial" w:cs="Arial"/>
          <w:color w:val="000000"/>
          <w:sz w:val="22"/>
          <w:szCs w:val="22"/>
        </w:rPr>
        <w:t xml:space="preserve">ny a plnění zahájeno v roce 2026</w:t>
      </w:r>
      <w:r>
        <w:rPr>
          <w:rFonts w:ascii="Arial" w:hAnsi="Arial" w:cs="Arial"/>
          <w:color w:val="000000"/>
          <w:sz w:val="22"/>
          <w:szCs w:val="22"/>
        </w:rPr>
        <w:t xml:space="preserve"> s předpokládaným plně</w:t>
      </w:r>
      <w:r>
        <w:rPr>
          <w:rFonts w:ascii="Arial" w:hAnsi="Arial" w:cs="Arial"/>
          <w:color w:val="000000"/>
          <w:sz w:val="22"/>
          <w:szCs w:val="22"/>
        </w:rPr>
        <w:t xml:space="preserve">ním i v roce 2027</w:t>
      </w:r>
      <w:r>
        <w:rPr>
          <w:rFonts w:ascii="Arial" w:hAnsi="Arial" w:cs="Arial"/>
          <w:color w:val="000000"/>
          <w:sz w:val="22"/>
          <w:szCs w:val="22"/>
        </w:rPr>
        <w:t xml:space="preserve">, čímž bude zajištěn hladký průběh realizace bez časových prodlev. Výdaje, promítající vysoutěženou a zasmluvněnou cenu a skut</w:t>
      </w:r>
      <w:r>
        <w:rPr>
          <w:rFonts w:ascii="Arial" w:hAnsi="Arial" w:cs="Arial"/>
          <w:color w:val="000000"/>
          <w:sz w:val="22"/>
          <w:szCs w:val="22"/>
        </w:rPr>
        <w:t xml:space="preserve">ečně uhrazené výdaje v roce 2026</w:t>
      </w:r>
      <w:r>
        <w:rPr>
          <w:rFonts w:ascii="Arial" w:hAnsi="Arial" w:cs="Arial"/>
          <w:color w:val="000000"/>
          <w:sz w:val="22"/>
          <w:szCs w:val="22"/>
        </w:rPr>
        <w:t xml:space="preserve"> (průběžné platby), budou zařazeny do n</w:t>
      </w:r>
      <w:r>
        <w:rPr>
          <w:rFonts w:ascii="Arial" w:hAnsi="Arial" w:cs="Arial"/>
          <w:color w:val="000000"/>
          <w:sz w:val="22"/>
          <w:szCs w:val="22"/>
        </w:rPr>
        <w:t xml:space="preserve">ávrhu rozpočtu města na rok 2027</w:t>
      </w:r>
      <w:r>
        <w:rPr>
          <w:rFonts w:ascii="Arial" w:hAnsi="Arial" w:cs="Arial"/>
          <w:color w:val="000000"/>
          <w:sz w:val="22"/>
          <w:szCs w:val="22"/>
        </w:rPr>
        <w:t xml:space="preserve">. 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 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903"/>
          <w:rFonts w:ascii="Arial" w:hAnsi="Arial" w:cs="Arial"/>
          <w:color w:val="000000"/>
          <w:sz w:val="22"/>
          <w:szCs w:val="22"/>
          <w:u w:val="single"/>
        </w:rPr>
        <w:t xml:space="preserve">K bodu 7.</w:t>
      </w:r>
      <w:r>
        <w:rPr>
          <w:rFonts w:ascii="Arial" w:hAnsi="Arial" w:cs="Arial"/>
          <w:color w:val="000000"/>
          <w:sz w:val="22"/>
          <w:szCs w:val="22"/>
          <w:u w:val="single"/>
        </w:rPr>
        <w:t xml:space="preserve">:</w:t>
      </w:r>
      <w:r>
        <w:rPr>
          <w:rFonts w:ascii="Arial" w:hAnsi="Arial" w:cs="Arial"/>
          <w:color w:val="000000"/>
          <w:sz w:val="22"/>
          <w:szCs w:val="22"/>
        </w:rPr>
        <w:t xml:space="preserve"> Odbor finanční je odpovědným odborem ve vztahu k DPH a odvodům za město. V rámci režimu přenesené daňové povinnosti odvádí příslušnou daň přímo město jako </w:t>
      </w:r>
      <w:r>
        <w:rPr>
          <w:rFonts w:ascii="Arial" w:hAnsi="Arial" w:cs="Arial"/>
          <w:color w:val="000000"/>
          <w:sz w:val="22"/>
          <w:szCs w:val="22"/>
        </w:rPr>
        <w:t xml:space="preserve">objednatel či kupující a smluvním partnerům tedy hradí pouze cenu vlastní dodávky, služby nebo stavebních prací. Při přípravě rozpočtu města jsou však náklady na DPH spojené s připravovanými akce rozpočtovány v nákladech jednotlivých akcí na příslušných OR</w:t>
      </w:r>
      <w:r>
        <w:rPr>
          <w:rFonts w:ascii="Arial" w:hAnsi="Arial" w:cs="Arial"/>
          <w:color w:val="000000"/>
          <w:sz w:val="22"/>
          <w:szCs w:val="22"/>
        </w:rPr>
        <w:t xml:space="preserve">J, avšak odvod DPH za město je centrálně prováděn z ORJ 741. V průběhu roku tak dochází k přesunům prostředků z jednotlivých ORJ na ORJ 741. Z důvodu zajištění operativních přesunů prostředků určených k odvodu DPH za město je navrženo předložené usnesení. 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 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902"/>
        <w:pBdr/>
        <w:shd w:val="clear" w:color="auto" w:fill="ffffff"/>
        <w:spacing w:after="0" w:afterAutospacing="0" w:before="0" w:beforeAutospacing="0"/>
        <w: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Bude zveřejněno na úřední desce Městského úřadu Nový Jičín od 21.11.2025.</w: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pStyle w:val="896"/>
        <w:pBdr/>
        <w:spacing/>
        <w: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notePr/>
      <w:endnotePr/>
      <w:type w:val="nextPage"/>
      <w:pgSz w:h="16838" w:orient="portrait" w:w="11906"/>
      <w:pgMar w:top="1417" w:right="1417" w:bottom="1417" w:left="1417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imes New Roman">
    <w:panose1 w:val="02020603050405020304"/>
  </w:font>
  <w:font w:name="Tahoma">
    <w:panose1 w:val="020B0506030602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Times New Roman" w:hAnsi="Times New Roman" w:cs="Times New Roman" w:eastAsiaTheme="minorHAnsi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1068"/>
      </w:pPr>
      <w:rPr>
        <w:rFonts w:hint="default" w:ascii="Arial" w:hAnsi="Arial" w:cs="Arial" w:eastAsiaTheme="minorHAnsi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8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8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8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8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8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8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8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8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Arial" w:hAnsi="Arial" w:cs="Arial" w:eastAsiaTheme="minorHAnsi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cs-CZ" w:eastAsia="cs-CZ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9">
    <w:name w:val="Table Grid"/>
    <w:basedOn w:val="89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Table Grid Light"/>
    <w:basedOn w:val="89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Plain Table 1"/>
    <w:basedOn w:val="89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Plain Table 2"/>
    <w:basedOn w:val="89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Plain Table 3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Plain Table 4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Plain Table 5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1 Light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1 Light - Accent 1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1 Light - Accent 2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1 Light - Accent 3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1 Light - Accent 4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1 Light - Accent 5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1 Light - Accent 6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2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2 - Accent 1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2 - Accent 2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2 - Accent 3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2 - Accent 4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2 - Accent 5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2 - Accent 6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3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3 - Accent 1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3 - Accent 2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3 - Accent 3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3 - Accent 4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3 - Accent 5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3 - Accent 6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4"/>
    <w:basedOn w:val="8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4 - Accent 1"/>
    <w:basedOn w:val="8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4 - Accent 2"/>
    <w:basedOn w:val="8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4 - Accent 3"/>
    <w:basedOn w:val="8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4 - Accent 4"/>
    <w:basedOn w:val="8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4 - Accent 5"/>
    <w:basedOn w:val="8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4 - Accent 6"/>
    <w:basedOn w:val="8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5 Dark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5 Dark- Accent 1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5 Dark - Accent 2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5 Dark - Accent 3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5 Dark- Accent 4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5 Dark - Accent 5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5 Dark - Accent 6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6 Colorful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6 Colorful - Accent 1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6 Colorful - Accent 2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6 Colorful - Accent 3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6 Colorful - Accent 4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6 Colorful - Accent 5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6 Colorful - Accent 6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7 Colorful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7 Colorful - Accent 1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7 Colorful - Accent 2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7 Colorful - Accent 3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7 Colorful - Accent 4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7 Colorful - Accent 5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7 Colorful - Accent 6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1 Light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1 Light - Accent 1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1 Light - Accent 2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1 Light - Accent 3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1 Light - Accent 4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1 Light - Accent 5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1 Light - Accent 6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2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2 - Accent 1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2 - Accent 2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2 - Accent 3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2 - Accent 4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2 - Accent 5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2 - Accent 6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3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3 - Accent 1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3 - Accent 2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3 - Accent 3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3 - Accent 4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3 - Accent 5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3 - Accent 6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4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4 - Accent 1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4 - Accent 2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4 - Accent 3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4 - Accent 4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4 - Accent 5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4 - Accent 6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5 Dark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5 Dark - Accent 1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5 Dark - Accent 2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5 Dark - Accent 3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5 Dark - Accent 4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5 Dark - Accent 5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5 Dark - Accent 6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6 Colorful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6 Colorful - Accent 1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6 Colorful - Accent 2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6 Colorful - Accent 3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6 Colorful - Accent 4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6 Colorful - Accent 5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6 Colorful - Accent 6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7 Colorful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7 Colorful - Accent 1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7 Colorful - Accent 2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7 Colorful - Accent 3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7 Colorful - Accent 4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7 Colorful - Accent 5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7 Colorful - Accent 6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ned - Accent"/>
    <w:basedOn w:val="8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ned - Accent 1"/>
    <w:basedOn w:val="8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ned - Accent 2"/>
    <w:basedOn w:val="8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ned - Accent 3"/>
    <w:basedOn w:val="8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ned - Accent 4"/>
    <w:basedOn w:val="8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ned - Accent 5"/>
    <w:basedOn w:val="8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ned - Accent 6"/>
    <w:basedOn w:val="8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&amp; Lined - Accent"/>
    <w:basedOn w:val="8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&amp; Lined - Accent 1"/>
    <w:basedOn w:val="8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&amp; Lined - Accent 2"/>
    <w:basedOn w:val="8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&amp; Lined - Accent 3"/>
    <w:basedOn w:val="8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&amp; Lined - Accent 4"/>
    <w:basedOn w:val="8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&amp; Lined - Accent 5"/>
    <w:basedOn w:val="8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&amp; Lined - Accent 6"/>
    <w:basedOn w:val="8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- Accent 1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- Accent 2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- Accent 3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- Accent 4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 - Accent 5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- Accent 6"/>
    <w:basedOn w:val="8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35">
    <w:name w:val="Heading 1"/>
    <w:basedOn w:val="891"/>
    <w:next w:val="891"/>
    <w:link w:val="843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36">
    <w:name w:val="Heading 3"/>
    <w:basedOn w:val="891"/>
    <w:next w:val="891"/>
    <w:link w:val="84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7">
    <w:name w:val="Heading 4"/>
    <w:basedOn w:val="891"/>
    <w:next w:val="891"/>
    <w:link w:val="84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8">
    <w:name w:val="Heading 5"/>
    <w:basedOn w:val="891"/>
    <w:next w:val="891"/>
    <w:link w:val="84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9">
    <w:name w:val="Heading 6"/>
    <w:basedOn w:val="891"/>
    <w:next w:val="891"/>
    <w:link w:val="84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40">
    <w:name w:val="Heading 7"/>
    <w:basedOn w:val="891"/>
    <w:next w:val="891"/>
    <w:link w:val="84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41">
    <w:name w:val="Heading 8"/>
    <w:basedOn w:val="891"/>
    <w:next w:val="891"/>
    <w:link w:val="85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42">
    <w:name w:val="Heading 9"/>
    <w:basedOn w:val="891"/>
    <w:next w:val="891"/>
    <w:link w:val="85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43">
    <w:name w:val="Heading 1 Char"/>
    <w:basedOn w:val="893"/>
    <w:link w:val="8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4">
    <w:name w:val="Heading 2 Char"/>
    <w:basedOn w:val="893"/>
    <w:link w:val="89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5">
    <w:name w:val="Heading 3 Char"/>
    <w:basedOn w:val="893"/>
    <w:link w:val="83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6">
    <w:name w:val="Heading 4 Char"/>
    <w:basedOn w:val="893"/>
    <w:link w:val="83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7">
    <w:name w:val="Heading 5 Char"/>
    <w:basedOn w:val="893"/>
    <w:link w:val="8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8">
    <w:name w:val="Heading 6 Char"/>
    <w:basedOn w:val="893"/>
    <w:link w:val="83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9">
    <w:name w:val="Heading 7 Char"/>
    <w:basedOn w:val="893"/>
    <w:link w:val="84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50">
    <w:name w:val="Heading 8 Char"/>
    <w:basedOn w:val="893"/>
    <w:link w:val="84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1">
    <w:name w:val="Heading 9 Char"/>
    <w:basedOn w:val="893"/>
    <w:link w:val="84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52">
    <w:name w:val="Title"/>
    <w:basedOn w:val="891"/>
    <w:next w:val="891"/>
    <w:link w:val="85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53">
    <w:name w:val="Title Char"/>
    <w:basedOn w:val="893"/>
    <w:link w:val="85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54">
    <w:name w:val="Subtitle"/>
    <w:basedOn w:val="891"/>
    <w:next w:val="891"/>
    <w:link w:val="85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5">
    <w:name w:val="Subtitle Char"/>
    <w:basedOn w:val="893"/>
    <w:link w:val="85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6">
    <w:name w:val="Quote"/>
    <w:basedOn w:val="891"/>
    <w:next w:val="891"/>
    <w:link w:val="85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7">
    <w:name w:val="Quote Char"/>
    <w:basedOn w:val="893"/>
    <w:link w:val="856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58">
    <w:name w:val="List Paragraph"/>
    <w:basedOn w:val="891"/>
    <w:uiPriority w:val="34"/>
    <w:qFormat/>
    <w:pPr>
      <w:pBdr/>
      <w:spacing/>
      <w:ind w:left="720"/>
      <w:contextualSpacing w:val="true"/>
    </w:pPr>
  </w:style>
  <w:style w:type="character" w:styleId="859">
    <w:name w:val="Intense Emphasis"/>
    <w:basedOn w:val="89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60">
    <w:name w:val="Intense Quote"/>
    <w:basedOn w:val="891"/>
    <w:next w:val="891"/>
    <w:link w:val="861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61">
    <w:name w:val="Intense Quote Char"/>
    <w:basedOn w:val="893"/>
    <w:link w:val="860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62">
    <w:name w:val="Intense Reference"/>
    <w:basedOn w:val="89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63">
    <w:name w:val="Subtle Emphasis"/>
    <w:basedOn w:val="89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4">
    <w:name w:val="Emphasis"/>
    <w:basedOn w:val="893"/>
    <w:uiPriority w:val="20"/>
    <w:qFormat/>
    <w:pPr>
      <w:pBdr/>
      <w:spacing/>
      <w:ind/>
    </w:pPr>
    <w:rPr>
      <w:i/>
      <w:iCs/>
    </w:rPr>
  </w:style>
  <w:style w:type="character" w:styleId="865">
    <w:name w:val="Subtle Reference"/>
    <w:basedOn w:val="89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6">
    <w:name w:val="Book Title"/>
    <w:basedOn w:val="89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7">
    <w:name w:val="Header"/>
    <w:basedOn w:val="891"/>
    <w:link w:val="86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8">
    <w:name w:val="Header Char"/>
    <w:basedOn w:val="893"/>
    <w:link w:val="867"/>
    <w:uiPriority w:val="99"/>
    <w:pPr>
      <w:pBdr/>
      <w:spacing/>
      <w:ind/>
    </w:pPr>
  </w:style>
  <w:style w:type="paragraph" w:styleId="869">
    <w:name w:val="Footer"/>
    <w:basedOn w:val="891"/>
    <w:link w:val="87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70">
    <w:name w:val="Footer Char"/>
    <w:basedOn w:val="893"/>
    <w:link w:val="869"/>
    <w:uiPriority w:val="99"/>
    <w:pPr>
      <w:pBdr/>
      <w:spacing/>
      <w:ind/>
    </w:pPr>
  </w:style>
  <w:style w:type="paragraph" w:styleId="871">
    <w:name w:val="Caption"/>
    <w:basedOn w:val="891"/>
    <w:next w:val="89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72">
    <w:name w:val="footnote text"/>
    <w:basedOn w:val="891"/>
    <w:link w:val="87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3">
    <w:name w:val="Footnote Text Char"/>
    <w:basedOn w:val="893"/>
    <w:link w:val="872"/>
    <w:uiPriority w:val="99"/>
    <w:semiHidden/>
    <w:pPr>
      <w:pBdr/>
      <w:spacing/>
      <w:ind/>
    </w:pPr>
    <w:rPr>
      <w:sz w:val="20"/>
      <w:szCs w:val="20"/>
    </w:rPr>
  </w:style>
  <w:style w:type="character" w:styleId="874">
    <w:name w:val="footnote reference"/>
    <w:basedOn w:val="893"/>
    <w:uiPriority w:val="99"/>
    <w:semiHidden/>
    <w:unhideWhenUsed/>
    <w:pPr>
      <w:pBdr/>
      <w:spacing/>
      <w:ind/>
    </w:pPr>
    <w:rPr>
      <w:vertAlign w:val="superscript"/>
    </w:rPr>
  </w:style>
  <w:style w:type="paragraph" w:styleId="875">
    <w:name w:val="endnote text"/>
    <w:basedOn w:val="891"/>
    <w:link w:val="87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6">
    <w:name w:val="Endnote Text Char"/>
    <w:basedOn w:val="893"/>
    <w:link w:val="875"/>
    <w:uiPriority w:val="99"/>
    <w:semiHidden/>
    <w:pPr>
      <w:pBdr/>
      <w:spacing/>
      <w:ind/>
    </w:pPr>
    <w:rPr>
      <w:sz w:val="20"/>
      <w:szCs w:val="20"/>
    </w:rPr>
  </w:style>
  <w:style w:type="character" w:styleId="877">
    <w:name w:val="endnote reference"/>
    <w:basedOn w:val="893"/>
    <w:uiPriority w:val="99"/>
    <w:semiHidden/>
    <w:unhideWhenUsed/>
    <w:pPr>
      <w:pBdr/>
      <w:spacing/>
      <w:ind/>
    </w:pPr>
    <w:rPr>
      <w:vertAlign w:val="superscript"/>
    </w:rPr>
  </w:style>
  <w:style w:type="character" w:styleId="878">
    <w:name w:val="Hyperlink"/>
    <w:basedOn w:val="89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9">
    <w:name w:val="FollowedHyperlink"/>
    <w:basedOn w:val="89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80">
    <w:name w:val="toc 1"/>
    <w:basedOn w:val="891"/>
    <w:next w:val="891"/>
    <w:uiPriority w:val="39"/>
    <w:unhideWhenUsed/>
    <w:pPr>
      <w:pBdr/>
      <w:spacing w:after="100"/>
      <w:ind/>
    </w:pPr>
  </w:style>
  <w:style w:type="paragraph" w:styleId="881">
    <w:name w:val="toc 2"/>
    <w:basedOn w:val="891"/>
    <w:next w:val="891"/>
    <w:uiPriority w:val="39"/>
    <w:unhideWhenUsed/>
    <w:pPr>
      <w:pBdr/>
      <w:spacing w:after="100"/>
      <w:ind w:left="220"/>
    </w:pPr>
  </w:style>
  <w:style w:type="paragraph" w:styleId="882">
    <w:name w:val="toc 3"/>
    <w:basedOn w:val="891"/>
    <w:next w:val="891"/>
    <w:uiPriority w:val="39"/>
    <w:unhideWhenUsed/>
    <w:pPr>
      <w:pBdr/>
      <w:spacing w:after="100"/>
      <w:ind w:left="440"/>
    </w:pPr>
  </w:style>
  <w:style w:type="paragraph" w:styleId="883">
    <w:name w:val="toc 4"/>
    <w:basedOn w:val="891"/>
    <w:next w:val="891"/>
    <w:uiPriority w:val="39"/>
    <w:unhideWhenUsed/>
    <w:pPr>
      <w:pBdr/>
      <w:spacing w:after="100"/>
      <w:ind w:left="660"/>
    </w:pPr>
  </w:style>
  <w:style w:type="paragraph" w:styleId="884">
    <w:name w:val="toc 5"/>
    <w:basedOn w:val="891"/>
    <w:next w:val="891"/>
    <w:uiPriority w:val="39"/>
    <w:unhideWhenUsed/>
    <w:pPr>
      <w:pBdr/>
      <w:spacing w:after="100"/>
      <w:ind w:left="880"/>
    </w:pPr>
  </w:style>
  <w:style w:type="paragraph" w:styleId="885">
    <w:name w:val="toc 6"/>
    <w:basedOn w:val="891"/>
    <w:next w:val="891"/>
    <w:uiPriority w:val="39"/>
    <w:unhideWhenUsed/>
    <w:pPr>
      <w:pBdr/>
      <w:spacing w:after="100"/>
      <w:ind w:left="1100"/>
    </w:pPr>
  </w:style>
  <w:style w:type="paragraph" w:styleId="886">
    <w:name w:val="toc 7"/>
    <w:basedOn w:val="891"/>
    <w:next w:val="891"/>
    <w:uiPriority w:val="39"/>
    <w:unhideWhenUsed/>
    <w:pPr>
      <w:pBdr/>
      <w:spacing w:after="100"/>
      <w:ind w:left="1320"/>
    </w:pPr>
  </w:style>
  <w:style w:type="paragraph" w:styleId="887">
    <w:name w:val="toc 8"/>
    <w:basedOn w:val="891"/>
    <w:next w:val="891"/>
    <w:uiPriority w:val="39"/>
    <w:unhideWhenUsed/>
    <w:pPr>
      <w:pBdr/>
      <w:spacing w:after="100"/>
      <w:ind w:left="1540"/>
    </w:pPr>
  </w:style>
  <w:style w:type="paragraph" w:styleId="888">
    <w:name w:val="toc 9"/>
    <w:basedOn w:val="891"/>
    <w:next w:val="891"/>
    <w:uiPriority w:val="39"/>
    <w:unhideWhenUsed/>
    <w:pPr>
      <w:pBdr/>
      <w:spacing w:after="100"/>
      <w:ind w:left="1760"/>
    </w:pPr>
  </w:style>
  <w:style w:type="paragraph" w:styleId="889">
    <w:name w:val="TOC Heading"/>
    <w:uiPriority w:val="39"/>
    <w:unhideWhenUsed/>
    <w:pPr>
      <w:pBdr/>
      <w:spacing/>
      <w:ind/>
    </w:pPr>
  </w:style>
  <w:style w:type="paragraph" w:styleId="890">
    <w:name w:val="table of figures"/>
    <w:basedOn w:val="891"/>
    <w:next w:val="891"/>
    <w:uiPriority w:val="99"/>
    <w:unhideWhenUsed/>
    <w:pPr>
      <w:pBdr/>
      <w:spacing w:after="0" w:afterAutospacing="0"/>
      <w:ind/>
    </w:pPr>
  </w:style>
  <w:style w:type="paragraph" w:styleId="891" w:default="1">
    <w:name w:val="Normal"/>
    <w:qFormat/>
    <w:pPr>
      <w:pBdr/>
      <w:spacing/>
      <w:ind/>
    </w:pPr>
  </w:style>
  <w:style w:type="paragraph" w:styleId="892">
    <w:name w:val="Heading 2"/>
    <w:basedOn w:val="891"/>
    <w:next w:val="891"/>
    <w:link w:val="898"/>
    <w:uiPriority w:val="9"/>
    <w:semiHidden/>
    <w:unhideWhenUsed/>
    <w:qFormat/>
    <w:pPr>
      <w:keepNext w:val="true"/>
      <w:keepLines w:val="true"/>
      <w:pBdr/>
      <w:spacing w:after="0" w:before="200"/>
      <w:ind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93" w:default="1">
    <w:name w:val="Default Paragraph Font"/>
    <w:uiPriority w:val="1"/>
    <w:semiHidden/>
    <w:unhideWhenUsed/>
    <w:pPr>
      <w:pBdr/>
      <w:spacing/>
      <w:ind/>
    </w:pPr>
  </w:style>
  <w:style w:type="table" w:styleId="89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5" w:default="1">
    <w:name w:val="No List"/>
    <w:uiPriority w:val="99"/>
    <w:semiHidden/>
    <w:unhideWhenUsed/>
    <w:pPr>
      <w:pBdr/>
      <w:spacing/>
      <w:ind/>
    </w:pPr>
  </w:style>
  <w:style w:type="paragraph" w:styleId="896">
    <w:name w:val="No Spacing"/>
    <w:uiPriority w:val="1"/>
    <w:qFormat/>
    <w:pPr>
      <w:pBdr/>
      <w:spacing w:after="0" w:line="240" w:lineRule="auto"/>
      <w:ind/>
    </w:pPr>
    <w:rPr>
      <w:rFonts w:eastAsiaTheme="minorHAnsi"/>
      <w:lang w:eastAsia="en-US"/>
    </w:rPr>
  </w:style>
  <w:style w:type="character" w:styleId="897" w:customStyle="1">
    <w:name w:val="platne1"/>
    <w:basedOn w:val="893"/>
    <w:pPr>
      <w:pBdr/>
      <w:spacing/>
      <w:ind/>
    </w:pPr>
  </w:style>
  <w:style w:type="character" w:styleId="898" w:customStyle="1">
    <w:name w:val="Nadpis 2 Char"/>
    <w:basedOn w:val="893"/>
    <w:link w:val="892"/>
    <w:uiPriority w:val="9"/>
    <w:semiHidden/>
    <w:pPr>
      <w:pBdr/>
      <w:spacing/>
      <w:ind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99" w:customStyle="1">
    <w:name w:val="apple-converted-space"/>
    <w:basedOn w:val="893"/>
    <w:pPr>
      <w:pBdr/>
      <w:spacing/>
      <w:ind/>
    </w:pPr>
  </w:style>
  <w:style w:type="paragraph" w:styleId="900">
    <w:name w:val="Balloon Text"/>
    <w:basedOn w:val="891"/>
    <w:link w:val="901"/>
    <w:uiPriority w:val="99"/>
    <w:semiHidden/>
    <w:unhideWhenUsed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901" w:customStyle="1">
    <w:name w:val="Text bubliny Char"/>
    <w:basedOn w:val="893"/>
    <w:link w:val="900"/>
    <w:uiPriority w:val="99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902">
    <w:name w:val="Normal (Web)"/>
    <w:basedOn w:val="891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  <w:style w:type="character" w:styleId="903">
    <w:name w:val="Strong"/>
    <w:basedOn w:val="893"/>
    <w:uiPriority w:val="22"/>
    <w:qFormat/>
    <w:pPr>
      <w:pBdr/>
      <w:spacing/>
      <w:ind/>
    </w:pPr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Kancelář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onlyoffice/8.2.1.38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Jarmila Straková</cp:lastModifiedBy>
  <cp:revision>37</cp:revision>
  <dcterms:created xsi:type="dcterms:W3CDTF">2021-02-15T12:39:00Z</dcterms:created>
  <dcterms:modified xsi:type="dcterms:W3CDTF">2025-11-21T09:55:41Z</dcterms:modified>
</cp:coreProperties>
</file>